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04C0" w14:textId="77777777" w:rsidR="00E32497" w:rsidRDefault="00E32497">
      <w:pPr>
        <w:spacing w:afterLines="100" w:after="240" w:line="316" w:lineRule="exact"/>
        <w:jc w:val="center"/>
        <w:rPr>
          <w:rFonts w:eastAsia="標楷體"/>
          <w:bCs/>
          <w:color w:val="000000"/>
          <w:sz w:val="36"/>
        </w:rPr>
      </w:pPr>
      <w:r>
        <w:rPr>
          <w:rFonts w:eastAsia="標楷體" w:hint="eastAsia"/>
          <w:bCs/>
          <w:color w:val="000000"/>
          <w:sz w:val="36"/>
        </w:rPr>
        <w:t>貳、名詞解釋</w:t>
      </w:r>
    </w:p>
    <w:tbl>
      <w:tblPr>
        <w:tblW w:w="14214" w:type="dxa"/>
        <w:tblLayout w:type="fixed"/>
        <w:tblCellMar>
          <w:left w:w="28" w:type="dxa"/>
          <w:right w:w="28" w:type="dxa"/>
        </w:tblCellMar>
        <w:tblLook w:val="0000" w:firstRow="0" w:lastRow="0" w:firstColumn="0" w:lastColumn="0" w:noHBand="0" w:noVBand="0"/>
      </w:tblPr>
      <w:tblGrid>
        <w:gridCol w:w="700"/>
        <w:gridCol w:w="2552"/>
        <w:gridCol w:w="227"/>
        <w:gridCol w:w="10735"/>
      </w:tblGrid>
      <w:tr w:rsidR="00E32497" w14:paraId="786CA43C" w14:textId="77777777">
        <w:tblPrEx>
          <w:tblCellMar>
            <w:top w:w="0" w:type="dxa"/>
            <w:bottom w:w="0" w:type="dxa"/>
          </w:tblCellMar>
        </w:tblPrEx>
        <w:tc>
          <w:tcPr>
            <w:tcW w:w="700" w:type="dxa"/>
          </w:tcPr>
          <w:p w14:paraId="76C60D5E"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1.</w:t>
            </w:r>
          </w:p>
        </w:tc>
        <w:tc>
          <w:tcPr>
            <w:tcW w:w="2552" w:type="dxa"/>
          </w:tcPr>
          <w:p w14:paraId="26FBC443"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按本國銀行統計</w:t>
            </w:r>
          </w:p>
        </w:tc>
        <w:tc>
          <w:tcPr>
            <w:tcW w:w="227" w:type="dxa"/>
          </w:tcPr>
          <w:p w14:paraId="23A51496"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0F137498"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包含本國一般銀行（不含中央銀行及全國農業金庫）及中小企業銀行之資料。</w:t>
            </w:r>
          </w:p>
        </w:tc>
      </w:tr>
      <w:tr w:rsidR="00E32497" w14:paraId="094758C4" w14:textId="77777777">
        <w:tblPrEx>
          <w:tblCellMar>
            <w:top w:w="0" w:type="dxa"/>
            <w:bottom w:w="0" w:type="dxa"/>
          </w:tblCellMar>
        </w:tblPrEx>
        <w:tc>
          <w:tcPr>
            <w:tcW w:w="700" w:type="dxa"/>
          </w:tcPr>
          <w:p w14:paraId="7AE59AC3"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2.</w:t>
            </w:r>
          </w:p>
        </w:tc>
        <w:tc>
          <w:tcPr>
            <w:tcW w:w="2552" w:type="dxa"/>
          </w:tcPr>
          <w:p w14:paraId="556F2C8A"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按一般銀行統計</w:t>
            </w:r>
          </w:p>
        </w:tc>
        <w:tc>
          <w:tcPr>
            <w:tcW w:w="227" w:type="dxa"/>
          </w:tcPr>
          <w:p w14:paraId="250C9429"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6E9C9D31"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包含本國銀行</w:t>
            </w:r>
            <w:r w:rsidR="00E70ED7">
              <w:rPr>
                <w:rFonts w:eastAsia="標楷體" w:hint="eastAsia"/>
                <w:bCs/>
                <w:color w:val="000000"/>
                <w:sz w:val="26"/>
              </w:rPr>
              <w:t>、</w:t>
            </w:r>
            <w:r>
              <w:rPr>
                <w:rFonts w:eastAsia="標楷體" w:hint="eastAsia"/>
                <w:bCs/>
                <w:color w:val="000000"/>
                <w:sz w:val="26"/>
              </w:rPr>
              <w:t>外國銀行在</w:t>
            </w:r>
            <w:proofErr w:type="gramStart"/>
            <w:r w:rsidR="004C378C">
              <w:rPr>
                <w:rFonts w:eastAsia="標楷體" w:hint="eastAsia"/>
                <w:bCs/>
                <w:color w:val="000000"/>
                <w:sz w:val="26"/>
              </w:rPr>
              <w:t>臺</w:t>
            </w:r>
            <w:proofErr w:type="gramEnd"/>
            <w:r>
              <w:rPr>
                <w:rFonts w:eastAsia="標楷體" w:hint="eastAsia"/>
                <w:bCs/>
                <w:color w:val="000000"/>
                <w:sz w:val="26"/>
              </w:rPr>
              <w:t>分行</w:t>
            </w:r>
            <w:r w:rsidR="00E70ED7">
              <w:rPr>
                <w:rFonts w:eastAsia="標楷體" w:hint="eastAsia"/>
                <w:bCs/>
                <w:color w:val="000000"/>
                <w:sz w:val="26"/>
              </w:rPr>
              <w:t>及大陸地區銀行在</w:t>
            </w:r>
            <w:proofErr w:type="gramStart"/>
            <w:r w:rsidR="00E70ED7">
              <w:rPr>
                <w:rFonts w:eastAsia="標楷體" w:hint="eastAsia"/>
                <w:bCs/>
                <w:color w:val="000000"/>
                <w:sz w:val="26"/>
              </w:rPr>
              <w:t>臺</w:t>
            </w:r>
            <w:proofErr w:type="gramEnd"/>
            <w:r w:rsidR="00E70ED7">
              <w:rPr>
                <w:rFonts w:eastAsia="標楷體" w:hint="eastAsia"/>
                <w:bCs/>
                <w:color w:val="000000"/>
                <w:sz w:val="26"/>
              </w:rPr>
              <w:t>分行</w:t>
            </w:r>
            <w:r>
              <w:rPr>
                <w:rFonts w:eastAsia="標楷體" w:hint="eastAsia"/>
                <w:bCs/>
                <w:color w:val="000000"/>
                <w:sz w:val="26"/>
              </w:rPr>
              <w:t>之資料。</w:t>
            </w:r>
          </w:p>
        </w:tc>
      </w:tr>
      <w:tr w:rsidR="00E32497" w14:paraId="7A0B9696" w14:textId="77777777">
        <w:tblPrEx>
          <w:tblCellMar>
            <w:top w:w="0" w:type="dxa"/>
            <w:bottom w:w="0" w:type="dxa"/>
          </w:tblCellMar>
        </w:tblPrEx>
        <w:tc>
          <w:tcPr>
            <w:tcW w:w="700" w:type="dxa"/>
          </w:tcPr>
          <w:p w14:paraId="11250357"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3.</w:t>
            </w:r>
          </w:p>
        </w:tc>
        <w:tc>
          <w:tcPr>
            <w:tcW w:w="2552" w:type="dxa"/>
          </w:tcPr>
          <w:p w14:paraId="53FDD38E"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按全行統計</w:t>
            </w:r>
          </w:p>
        </w:tc>
        <w:tc>
          <w:tcPr>
            <w:tcW w:w="227" w:type="dxa"/>
          </w:tcPr>
          <w:p w14:paraId="4BA9DC35"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4E71AD20"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本國銀行包含國內總分行</w:t>
            </w:r>
            <w:r w:rsidR="002E7EBA">
              <w:rPr>
                <w:rFonts w:eastAsia="標楷體" w:hint="eastAsia"/>
                <w:bCs/>
                <w:color w:val="000000"/>
                <w:sz w:val="26"/>
              </w:rPr>
              <w:t>、</w:t>
            </w:r>
            <w:r>
              <w:rPr>
                <w:rFonts w:eastAsia="標楷體" w:hint="eastAsia"/>
                <w:bCs/>
                <w:color w:val="000000"/>
                <w:sz w:val="26"/>
              </w:rPr>
              <w:t>國外分行</w:t>
            </w:r>
            <w:r w:rsidR="00E70ED7">
              <w:rPr>
                <w:rFonts w:eastAsia="標楷體" w:hint="eastAsia"/>
                <w:bCs/>
                <w:color w:val="000000"/>
                <w:sz w:val="26"/>
              </w:rPr>
              <w:t>、大陸地區分行</w:t>
            </w:r>
            <w:r>
              <w:rPr>
                <w:rFonts w:eastAsia="標楷體" w:hint="eastAsia"/>
                <w:bCs/>
                <w:color w:val="000000"/>
                <w:sz w:val="26"/>
              </w:rPr>
              <w:t>及國際金融業務分行之資料；外國銀行在</w:t>
            </w:r>
            <w:proofErr w:type="gramStart"/>
            <w:r w:rsidR="004C378C">
              <w:rPr>
                <w:rFonts w:eastAsia="標楷體" w:hint="eastAsia"/>
                <w:bCs/>
                <w:color w:val="000000"/>
                <w:sz w:val="26"/>
              </w:rPr>
              <w:t>臺</w:t>
            </w:r>
            <w:proofErr w:type="gramEnd"/>
            <w:r w:rsidR="002177CA">
              <w:rPr>
                <w:rFonts w:eastAsia="標楷體" w:hint="eastAsia"/>
                <w:bCs/>
                <w:color w:val="000000"/>
                <w:sz w:val="26"/>
              </w:rPr>
              <w:t>分行則包含在</w:t>
            </w:r>
            <w:proofErr w:type="gramStart"/>
            <w:r w:rsidR="002177CA">
              <w:rPr>
                <w:rFonts w:eastAsia="標楷體" w:hint="eastAsia"/>
                <w:bCs/>
                <w:color w:val="000000"/>
                <w:sz w:val="26"/>
              </w:rPr>
              <w:t>臺</w:t>
            </w:r>
            <w:proofErr w:type="gramEnd"/>
            <w:r>
              <w:rPr>
                <w:rFonts w:eastAsia="標楷體" w:hint="eastAsia"/>
                <w:bCs/>
                <w:color w:val="000000"/>
                <w:sz w:val="26"/>
              </w:rPr>
              <w:t>分行及國際金融業務分行之資料。</w:t>
            </w:r>
          </w:p>
        </w:tc>
      </w:tr>
      <w:tr w:rsidR="00E32497" w14:paraId="0761950D" w14:textId="77777777">
        <w:tblPrEx>
          <w:tblCellMar>
            <w:top w:w="0" w:type="dxa"/>
            <w:bottom w:w="0" w:type="dxa"/>
          </w:tblCellMar>
        </w:tblPrEx>
        <w:tc>
          <w:tcPr>
            <w:tcW w:w="700" w:type="dxa"/>
          </w:tcPr>
          <w:p w14:paraId="299D0343"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4.</w:t>
            </w:r>
          </w:p>
        </w:tc>
        <w:tc>
          <w:tcPr>
            <w:tcW w:w="2552" w:type="dxa"/>
          </w:tcPr>
          <w:p w14:paraId="0792E41B"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按國內總分行統計</w:t>
            </w:r>
          </w:p>
        </w:tc>
        <w:tc>
          <w:tcPr>
            <w:tcW w:w="227" w:type="dxa"/>
          </w:tcPr>
          <w:p w14:paraId="29458D38"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6C4753AA"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本國</w:t>
            </w:r>
            <w:proofErr w:type="gramStart"/>
            <w:r>
              <w:rPr>
                <w:rFonts w:eastAsia="標楷體" w:hint="eastAsia"/>
                <w:bCs/>
                <w:color w:val="000000"/>
                <w:sz w:val="26"/>
              </w:rPr>
              <w:t>銀行指按個別</w:t>
            </w:r>
            <w:proofErr w:type="gramEnd"/>
            <w:r>
              <w:rPr>
                <w:rFonts w:eastAsia="標楷體" w:hint="eastAsia"/>
                <w:bCs/>
                <w:color w:val="000000"/>
                <w:sz w:val="26"/>
              </w:rPr>
              <w:t>銀行在國內之總</w:t>
            </w:r>
            <w:r w:rsidR="002E7EBA">
              <w:rPr>
                <w:rFonts w:eastAsia="標楷體" w:hint="eastAsia"/>
                <w:bCs/>
                <w:color w:val="000000"/>
                <w:sz w:val="26"/>
              </w:rPr>
              <w:t>、</w:t>
            </w:r>
            <w:r>
              <w:rPr>
                <w:rFonts w:eastAsia="標楷體" w:hint="eastAsia"/>
                <w:bCs/>
                <w:color w:val="000000"/>
                <w:sz w:val="26"/>
              </w:rPr>
              <w:t>分行資料；外國銀行在</w:t>
            </w:r>
            <w:proofErr w:type="gramStart"/>
            <w:r w:rsidR="004C378C">
              <w:rPr>
                <w:rFonts w:eastAsia="標楷體" w:hint="eastAsia"/>
                <w:bCs/>
                <w:color w:val="000000"/>
                <w:sz w:val="26"/>
              </w:rPr>
              <w:t>臺</w:t>
            </w:r>
            <w:proofErr w:type="gramEnd"/>
            <w:r>
              <w:rPr>
                <w:rFonts w:eastAsia="標楷體" w:hint="eastAsia"/>
                <w:bCs/>
                <w:color w:val="000000"/>
                <w:sz w:val="26"/>
              </w:rPr>
              <w:t>分行則指不含國際金融業務分行之資料。</w:t>
            </w:r>
          </w:p>
        </w:tc>
      </w:tr>
      <w:tr w:rsidR="00E32497" w14:paraId="4AA3129F" w14:textId="77777777">
        <w:tblPrEx>
          <w:tblCellMar>
            <w:top w:w="0" w:type="dxa"/>
            <w:bottom w:w="0" w:type="dxa"/>
          </w:tblCellMar>
        </w:tblPrEx>
        <w:tc>
          <w:tcPr>
            <w:tcW w:w="700" w:type="dxa"/>
          </w:tcPr>
          <w:p w14:paraId="459FC39A"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5.</w:t>
            </w:r>
          </w:p>
        </w:tc>
        <w:tc>
          <w:tcPr>
            <w:tcW w:w="2552" w:type="dxa"/>
          </w:tcPr>
          <w:p w14:paraId="1D1FC769"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存款</w:t>
            </w:r>
          </w:p>
        </w:tc>
        <w:tc>
          <w:tcPr>
            <w:tcW w:w="227" w:type="dxa"/>
          </w:tcPr>
          <w:p w14:paraId="6731C02A"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7AA5EDDC"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包含活期性存款、定期性存款、外匯存款、公庫存款等，說明如下：</w:t>
            </w:r>
          </w:p>
        </w:tc>
      </w:tr>
      <w:tr w:rsidR="00E32497" w14:paraId="05D13510" w14:textId="77777777">
        <w:tblPrEx>
          <w:tblCellMar>
            <w:top w:w="0" w:type="dxa"/>
            <w:bottom w:w="0" w:type="dxa"/>
          </w:tblCellMar>
        </w:tblPrEx>
        <w:tc>
          <w:tcPr>
            <w:tcW w:w="700" w:type="dxa"/>
          </w:tcPr>
          <w:p w14:paraId="6D0E47C8" w14:textId="77777777" w:rsidR="00E32497" w:rsidRDefault="00E32497">
            <w:pPr>
              <w:spacing w:beforeLines="50" w:before="120" w:line="340" w:lineRule="exact"/>
              <w:ind w:firstLineChars="75" w:firstLine="180"/>
              <w:jc w:val="both"/>
              <w:rPr>
                <w:rFonts w:eastAsia="標楷體" w:hint="eastAsia"/>
                <w:bCs/>
                <w:color w:val="000000"/>
              </w:rPr>
            </w:pPr>
            <w:r>
              <w:rPr>
                <w:rFonts w:eastAsia="標楷體" w:hint="eastAsia"/>
                <w:bCs/>
                <w:color w:val="000000"/>
              </w:rPr>
              <w:t>5-1</w:t>
            </w:r>
          </w:p>
        </w:tc>
        <w:tc>
          <w:tcPr>
            <w:tcW w:w="2552" w:type="dxa"/>
          </w:tcPr>
          <w:p w14:paraId="57E4C4AF"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活期性存款</w:t>
            </w:r>
          </w:p>
        </w:tc>
        <w:tc>
          <w:tcPr>
            <w:tcW w:w="227" w:type="dxa"/>
          </w:tcPr>
          <w:p w14:paraId="7E5A3F51"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673C0D25"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企業及個人在金融機構之支票存款、活期存款</w:t>
            </w:r>
            <w:r w:rsidR="00A95618">
              <w:rPr>
                <w:rFonts w:eastAsia="標楷體" w:hint="eastAsia"/>
                <w:bCs/>
                <w:color w:val="000000"/>
                <w:sz w:val="26"/>
              </w:rPr>
              <w:t>、</w:t>
            </w:r>
            <w:r>
              <w:rPr>
                <w:rFonts w:eastAsia="標楷體" w:hint="eastAsia"/>
                <w:bCs/>
                <w:color w:val="000000"/>
                <w:sz w:val="26"/>
              </w:rPr>
              <w:t>活期儲蓄存款</w:t>
            </w:r>
            <w:r w:rsidR="00A95618">
              <w:rPr>
                <w:rFonts w:eastAsia="標楷體" w:hint="eastAsia"/>
                <w:bCs/>
                <w:color w:val="000000"/>
                <w:sz w:val="26"/>
              </w:rPr>
              <w:t>及現金儲值卡</w:t>
            </w:r>
            <w:r>
              <w:rPr>
                <w:rFonts w:eastAsia="標楷體" w:hint="eastAsia"/>
                <w:bCs/>
                <w:color w:val="000000"/>
                <w:sz w:val="26"/>
              </w:rPr>
              <w:t>。</w:t>
            </w:r>
          </w:p>
        </w:tc>
      </w:tr>
      <w:tr w:rsidR="00E32497" w14:paraId="28915138" w14:textId="77777777">
        <w:tblPrEx>
          <w:tblCellMar>
            <w:top w:w="0" w:type="dxa"/>
            <w:bottom w:w="0" w:type="dxa"/>
          </w:tblCellMar>
        </w:tblPrEx>
        <w:tc>
          <w:tcPr>
            <w:tcW w:w="700" w:type="dxa"/>
          </w:tcPr>
          <w:p w14:paraId="45ED5A83" w14:textId="77777777" w:rsidR="00E32497" w:rsidRDefault="00E32497">
            <w:pPr>
              <w:spacing w:beforeLines="50" w:before="120" w:line="340" w:lineRule="exact"/>
              <w:ind w:firstLineChars="75" w:firstLine="180"/>
              <w:jc w:val="both"/>
              <w:rPr>
                <w:rFonts w:eastAsia="標楷體" w:hint="eastAsia"/>
                <w:bCs/>
                <w:color w:val="000000"/>
              </w:rPr>
            </w:pPr>
            <w:r>
              <w:rPr>
                <w:rFonts w:eastAsia="標楷體" w:hint="eastAsia"/>
                <w:bCs/>
                <w:color w:val="000000"/>
              </w:rPr>
              <w:t>5-2</w:t>
            </w:r>
          </w:p>
        </w:tc>
        <w:tc>
          <w:tcPr>
            <w:tcW w:w="2552" w:type="dxa"/>
          </w:tcPr>
          <w:p w14:paraId="3DB63A2B"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定期性存款</w:t>
            </w:r>
          </w:p>
        </w:tc>
        <w:tc>
          <w:tcPr>
            <w:tcW w:w="227" w:type="dxa"/>
          </w:tcPr>
          <w:p w14:paraId="12E250A7"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0F3CBFA8"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凡訂明支取本息期限、到期憑存單或依約訂方式提取之存款屬之，分一般定期存款、定期儲蓄存款及可轉讓定期存單。</w:t>
            </w:r>
          </w:p>
        </w:tc>
      </w:tr>
      <w:tr w:rsidR="00E32497" w14:paraId="3EE0C03C" w14:textId="77777777">
        <w:tblPrEx>
          <w:tblCellMar>
            <w:top w:w="0" w:type="dxa"/>
            <w:bottom w:w="0" w:type="dxa"/>
          </w:tblCellMar>
        </w:tblPrEx>
        <w:tc>
          <w:tcPr>
            <w:tcW w:w="700" w:type="dxa"/>
          </w:tcPr>
          <w:p w14:paraId="69E5AC3B" w14:textId="77777777" w:rsidR="00E32497" w:rsidRDefault="005D2739">
            <w:pPr>
              <w:spacing w:beforeLines="50" w:before="120" w:line="340" w:lineRule="exact"/>
              <w:ind w:firstLineChars="75" w:firstLine="180"/>
              <w:jc w:val="both"/>
              <w:rPr>
                <w:rFonts w:eastAsia="標楷體" w:hint="eastAsia"/>
                <w:bCs/>
                <w:color w:val="000000"/>
              </w:rPr>
            </w:pPr>
            <w:r>
              <w:rPr>
                <w:rFonts w:eastAsia="標楷體" w:hint="eastAsia"/>
                <w:bCs/>
                <w:color w:val="000000"/>
              </w:rPr>
              <w:t>5-3</w:t>
            </w:r>
          </w:p>
        </w:tc>
        <w:tc>
          <w:tcPr>
            <w:tcW w:w="2552" w:type="dxa"/>
          </w:tcPr>
          <w:p w14:paraId="2B0D39F0"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外匯存款</w:t>
            </w:r>
          </w:p>
        </w:tc>
        <w:tc>
          <w:tcPr>
            <w:tcW w:w="227" w:type="dxa"/>
          </w:tcPr>
          <w:p w14:paraId="3574723F"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4F4FAE5B"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凡以外匯款項存入訂明支取本息期限或隨時可提取者屬之，分活期及定期兩種。</w:t>
            </w:r>
          </w:p>
        </w:tc>
      </w:tr>
      <w:tr w:rsidR="00E32497" w14:paraId="6C310147" w14:textId="77777777">
        <w:tblPrEx>
          <w:tblCellMar>
            <w:top w:w="0" w:type="dxa"/>
            <w:bottom w:w="0" w:type="dxa"/>
          </w:tblCellMar>
        </w:tblPrEx>
        <w:tc>
          <w:tcPr>
            <w:tcW w:w="700" w:type="dxa"/>
          </w:tcPr>
          <w:p w14:paraId="4F3B9C35" w14:textId="77777777" w:rsidR="00E32497" w:rsidRDefault="00E32497">
            <w:pPr>
              <w:spacing w:beforeLines="50" w:before="120" w:line="340" w:lineRule="exact"/>
              <w:ind w:firstLineChars="75" w:firstLine="180"/>
              <w:jc w:val="both"/>
              <w:rPr>
                <w:rFonts w:eastAsia="標楷體" w:hint="eastAsia"/>
                <w:bCs/>
                <w:color w:val="000000"/>
              </w:rPr>
            </w:pPr>
            <w:r>
              <w:rPr>
                <w:rFonts w:eastAsia="標楷體" w:hint="eastAsia"/>
                <w:bCs/>
                <w:color w:val="000000"/>
              </w:rPr>
              <w:t>5-4</w:t>
            </w:r>
          </w:p>
        </w:tc>
        <w:tc>
          <w:tcPr>
            <w:tcW w:w="2552" w:type="dxa"/>
          </w:tcPr>
          <w:p w14:paraId="3CE47200"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公庫存款</w:t>
            </w:r>
            <w:r w:rsidR="00A95618">
              <w:rPr>
                <w:rFonts w:eastAsia="標楷體" w:hint="eastAsia"/>
                <w:bCs/>
                <w:color w:val="000000"/>
                <w:sz w:val="26"/>
              </w:rPr>
              <w:t>及其他</w:t>
            </w:r>
          </w:p>
        </w:tc>
        <w:tc>
          <w:tcPr>
            <w:tcW w:w="227" w:type="dxa"/>
          </w:tcPr>
          <w:p w14:paraId="22F62E30"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5956A627"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存入屬於公庫之款項</w:t>
            </w:r>
            <w:r w:rsidR="00A95618">
              <w:rPr>
                <w:rFonts w:eastAsia="標楷體" w:hint="eastAsia"/>
                <w:bCs/>
                <w:color w:val="000000"/>
                <w:sz w:val="26"/>
              </w:rPr>
              <w:t>及指定或代為確定用途信託資金</w:t>
            </w:r>
            <w:r>
              <w:rPr>
                <w:rFonts w:eastAsia="標楷體" w:hint="eastAsia"/>
                <w:bCs/>
                <w:color w:val="000000"/>
                <w:sz w:val="26"/>
              </w:rPr>
              <w:t>。</w:t>
            </w:r>
          </w:p>
        </w:tc>
      </w:tr>
      <w:tr w:rsidR="00E32497" w14:paraId="582D3078" w14:textId="77777777">
        <w:tblPrEx>
          <w:tblCellMar>
            <w:top w:w="0" w:type="dxa"/>
            <w:bottom w:w="0" w:type="dxa"/>
          </w:tblCellMar>
        </w:tblPrEx>
        <w:tc>
          <w:tcPr>
            <w:tcW w:w="700" w:type="dxa"/>
          </w:tcPr>
          <w:p w14:paraId="2F0AFC34"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6.</w:t>
            </w:r>
          </w:p>
        </w:tc>
        <w:tc>
          <w:tcPr>
            <w:tcW w:w="2552" w:type="dxa"/>
          </w:tcPr>
          <w:p w14:paraId="537A10A9"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支票存款</w:t>
            </w:r>
          </w:p>
        </w:tc>
        <w:tc>
          <w:tcPr>
            <w:tcW w:w="227" w:type="dxa"/>
          </w:tcPr>
          <w:p w14:paraId="0CDDFEF6"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3B8AD57F"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依約憑存款人所簽發之支票，或利用自動化設備委託支付隨時提取不計利息之存款。</w:t>
            </w:r>
          </w:p>
        </w:tc>
      </w:tr>
      <w:tr w:rsidR="00E32497" w14:paraId="61B6E06E" w14:textId="77777777">
        <w:tblPrEx>
          <w:tblCellMar>
            <w:top w:w="0" w:type="dxa"/>
            <w:bottom w:w="0" w:type="dxa"/>
          </w:tblCellMar>
        </w:tblPrEx>
        <w:tc>
          <w:tcPr>
            <w:tcW w:w="700" w:type="dxa"/>
          </w:tcPr>
          <w:p w14:paraId="58A9426F"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7.</w:t>
            </w:r>
          </w:p>
        </w:tc>
        <w:tc>
          <w:tcPr>
            <w:tcW w:w="2552" w:type="dxa"/>
          </w:tcPr>
          <w:p w14:paraId="70668A2B"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放款</w:t>
            </w:r>
          </w:p>
        </w:tc>
        <w:tc>
          <w:tcPr>
            <w:tcW w:w="227" w:type="dxa"/>
          </w:tcPr>
          <w:p w14:paraId="28CF7867"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3A4AC6BC"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包含貼現及透支、短期放款、中長期放款、進出口押匯等，說明如下：</w:t>
            </w:r>
          </w:p>
        </w:tc>
      </w:tr>
      <w:tr w:rsidR="00E32497" w14:paraId="20C0F104" w14:textId="77777777">
        <w:tblPrEx>
          <w:tblCellMar>
            <w:top w:w="0" w:type="dxa"/>
            <w:bottom w:w="0" w:type="dxa"/>
          </w:tblCellMar>
        </w:tblPrEx>
        <w:tc>
          <w:tcPr>
            <w:tcW w:w="700" w:type="dxa"/>
          </w:tcPr>
          <w:p w14:paraId="3FCCB666" w14:textId="77777777" w:rsidR="00E32497" w:rsidRDefault="00E32497">
            <w:pPr>
              <w:spacing w:beforeLines="50" w:before="120" w:line="340" w:lineRule="exact"/>
              <w:ind w:firstLineChars="75" w:firstLine="180"/>
              <w:jc w:val="both"/>
              <w:rPr>
                <w:rFonts w:eastAsia="標楷體" w:hint="eastAsia"/>
                <w:bCs/>
                <w:color w:val="000000"/>
              </w:rPr>
            </w:pPr>
            <w:r>
              <w:rPr>
                <w:rFonts w:eastAsia="標楷體" w:hint="eastAsia"/>
                <w:bCs/>
                <w:color w:val="000000"/>
              </w:rPr>
              <w:t>7-1</w:t>
            </w:r>
          </w:p>
        </w:tc>
        <w:tc>
          <w:tcPr>
            <w:tcW w:w="2552" w:type="dxa"/>
          </w:tcPr>
          <w:p w14:paraId="2B7E4A1D"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貼現</w:t>
            </w:r>
          </w:p>
        </w:tc>
        <w:tc>
          <w:tcPr>
            <w:tcW w:w="227" w:type="dxa"/>
          </w:tcPr>
          <w:p w14:paraId="26EDF2F5"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118E723B" w14:textId="77777777" w:rsidR="00E32497" w:rsidRDefault="00E32497">
            <w:pPr>
              <w:spacing w:beforeLines="50" w:before="120" w:line="340" w:lineRule="exact"/>
              <w:jc w:val="both"/>
              <w:rPr>
                <w:rFonts w:eastAsia="標楷體" w:hint="eastAsia"/>
                <w:bCs/>
                <w:color w:val="000000"/>
                <w:sz w:val="26"/>
              </w:rPr>
            </w:pPr>
            <w:proofErr w:type="gramStart"/>
            <w:r>
              <w:rPr>
                <w:rFonts w:eastAsia="標楷體" w:hint="eastAsia"/>
                <w:bCs/>
                <w:color w:val="000000"/>
                <w:sz w:val="26"/>
              </w:rPr>
              <w:t>凡憑未到期</w:t>
            </w:r>
            <w:proofErr w:type="gramEnd"/>
            <w:r>
              <w:rPr>
                <w:rFonts w:eastAsia="標楷體" w:hint="eastAsia"/>
                <w:bCs/>
                <w:color w:val="000000"/>
                <w:sz w:val="26"/>
              </w:rPr>
              <w:t>之票據為應</w:t>
            </w:r>
            <w:proofErr w:type="gramStart"/>
            <w:r>
              <w:rPr>
                <w:rFonts w:eastAsia="標楷體" w:hint="eastAsia"/>
                <w:bCs/>
                <w:color w:val="000000"/>
                <w:sz w:val="26"/>
              </w:rPr>
              <w:t>收客帳或</w:t>
            </w:r>
            <w:proofErr w:type="gramEnd"/>
            <w:r>
              <w:rPr>
                <w:rFonts w:eastAsia="標楷體" w:hint="eastAsia"/>
                <w:bCs/>
                <w:color w:val="000000"/>
                <w:sz w:val="26"/>
              </w:rPr>
              <w:t>將屆還本付息之公債及國庫券本息票等</w:t>
            </w:r>
            <w:proofErr w:type="gramStart"/>
            <w:r>
              <w:rPr>
                <w:rFonts w:eastAsia="標楷體" w:hint="eastAsia"/>
                <w:bCs/>
                <w:color w:val="000000"/>
                <w:sz w:val="26"/>
              </w:rPr>
              <w:t>貼息取現者</w:t>
            </w:r>
            <w:proofErr w:type="gramEnd"/>
            <w:r>
              <w:rPr>
                <w:rFonts w:eastAsia="標楷體" w:hint="eastAsia"/>
                <w:bCs/>
                <w:color w:val="000000"/>
                <w:sz w:val="26"/>
              </w:rPr>
              <w:t>。</w:t>
            </w:r>
          </w:p>
        </w:tc>
      </w:tr>
      <w:tr w:rsidR="00E32497" w14:paraId="4E723594" w14:textId="77777777">
        <w:tblPrEx>
          <w:tblCellMar>
            <w:top w:w="0" w:type="dxa"/>
            <w:bottom w:w="0" w:type="dxa"/>
          </w:tblCellMar>
        </w:tblPrEx>
        <w:tc>
          <w:tcPr>
            <w:tcW w:w="700" w:type="dxa"/>
          </w:tcPr>
          <w:p w14:paraId="24EAE70B" w14:textId="77777777" w:rsidR="00E32497" w:rsidRDefault="00E32497">
            <w:pPr>
              <w:spacing w:beforeLines="50" w:before="120" w:line="340" w:lineRule="exact"/>
              <w:ind w:firstLineChars="75" w:firstLine="180"/>
              <w:jc w:val="both"/>
              <w:rPr>
                <w:rFonts w:eastAsia="標楷體" w:hint="eastAsia"/>
                <w:bCs/>
                <w:color w:val="000000"/>
              </w:rPr>
            </w:pPr>
            <w:r>
              <w:rPr>
                <w:rFonts w:eastAsia="標楷體" w:hint="eastAsia"/>
                <w:bCs/>
                <w:color w:val="000000"/>
              </w:rPr>
              <w:t>7-2</w:t>
            </w:r>
          </w:p>
        </w:tc>
        <w:tc>
          <w:tcPr>
            <w:tcW w:w="2552" w:type="dxa"/>
          </w:tcPr>
          <w:p w14:paraId="62AE5A80"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透支</w:t>
            </w:r>
          </w:p>
        </w:tc>
        <w:tc>
          <w:tcPr>
            <w:tcW w:w="227" w:type="dxa"/>
          </w:tcPr>
          <w:p w14:paraId="55D2C19B"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115A40BC"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凡支票存款戶訂立之契約，約定其帳戶餘額不足以支付其所簽發支票提付款之金額時，金融機構予以墊付之款項。</w:t>
            </w:r>
          </w:p>
        </w:tc>
      </w:tr>
      <w:tr w:rsidR="00E32497" w14:paraId="772AD515" w14:textId="77777777">
        <w:tblPrEx>
          <w:tblCellMar>
            <w:top w:w="0" w:type="dxa"/>
            <w:bottom w:w="0" w:type="dxa"/>
          </w:tblCellMar>
        </w:tblPrEx>
        <w:tc>
          <w:tcPr>
            <w:tcW w:w="700" w:type="dxa"/>
          </w:tcPr>
          <w:p w14:paraId="0E7E3AF9" w14:textId="77777777" w:rsidR="00E32497" w:rsidRDefault="00E32497">
            <w:pPr>
              <w:spacing w:beforeLines="50" w:before="120" w:line="340" w:lineRule="exact"/>
              <w:ind w:firstLineChars="75" w:firstLine="180"/>
              <w:jc w:val="both"/>
              <w:rPr>
                <w:rFonts w:eastAsia="標楷體" w:hint="eastAsia"/>
                <w:bCs/>
                <w:color w:val="000000"/>
              </w:rPr>
            </w:pPr>
            <w:r>
              <w:rPr>
                <w:rFonts w:eastAsia="標楷體" w:hint="eastAsia"/>
                <w:bCs/>
                <w:color w:val="000000"/>
              </w:rPr>
              <w:t>7-3</w:t>
            </w:r>
          </w:p>
        </w:tc>
        <w:tc>
          <w:tcPr>
            <w:tcW w:w="2552" w:type="dxa"/>
          </w:tcPr>
          <w:p w14:paraId="1BA90B85"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短期放款</w:t>
            </w:r>
          </w:p>
        </w:tc>
        <w:tc>
          <w:tcPr>
            <w:tcW w:w="227" w:type="dxa"/>
          </w:tcPr>
          <w:p w14:paraId="3F2BB579"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0ADDB9BA"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授信期限在一年以內之各種信用放款屬之。</w:t>
            </w:r>
          </w:p>
        </w:tc>
      </w:tr>
      <w:tr w:rsidR="00E32497" w14:paraId="548F3193" w14:textId="77777777">
        <w:tblPrEx>
          <w:tblCellMar>
            <w:top w:w="0" w:type="dxa"/>
            <w:bottom w:w="0" w:type="dxa"/>
          </w:tblCellMar>
        </w:tblPrEx>
        <w:tc>
          <w:tcPr>
            <w:tcW w:w="700" w:type="dxa"/>
          </w:tcPr>
          <w:p w14:paraId="413D6F87" w14:textId="77777777" w:rsidR="00E32497" w:rsidRDefault="00E32497">
            <w:pPr>
              <w:spacing w:beforeLines="50" w:before="120" w:line="340" w:lineRule="exact"/>
              <w:ind w:firstLineChars="75" w:firstLine="180"/>
              <w:jc w:val="both"/>
              <w:rPr>
                <w:rFonts w:eastAsia="標楷體" w:hint="eastAsia"/>
                <w:bCs/>
                <w:color w:val="000000"/>
              </w:rPr>
            </w:pPr>
            <w:r>
              <w:rPr>
                <w:rFonts w:eastAsia="標楷體" w:hint="eastAsia"/>
                <w:bCs/>
                <w:color w:val="000000"/>
              </w:rPr>
              <w:t>7-4</w:t>
            </w:r>
          </w:p>
        </w:tc>
        <w:tc>
          <w:tcPr>
            <w:tcW w:w="2552" w:type="dxa"/>
          </w:tcPr>
          <w:p w14:paraId="6CEC7345"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中期放款</w:t>
            </w:r>
          </w:p>
        </w:tc>
        <w:tc>
          <w:tcPr>
            <w:tcW w:w="227" w:type="dxa"/>
          </w:tcPr>
          <w:p w14:paraId="460F071E"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4990D6D9"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中期放款為授信期限超過一年而在七年以內之信用放款。</w:t>
            </w:r>
          </w:p>
        </w:tc>
      </w:tr>
      <w:tr w:rsidR="00E32497" w14:paraId="4F42BB23" w14:textId="77777777">
        <w:tblPrEx>
          <w:tblCellMar>
            <w:top w:w="0" w:type="dxa"/>
            <w:bottom w:w="0" w:type="dxa"/>
          </w:tblCellMar>
        </w:tblPrEx>
        <w:tc>
          <w:tcPr>
            <w:tcW w:w="700" w:type="dxa"/>
          </w:tcPr>
          <w:p w14:paraId="146DC014" w14:textId="77777777" w:rsidR="00E32497" w:rsidRDefault="00E32497">
            <w:pPr>
              <w:spacing w:beforeLines="50" w:before="120" w:line="340" w:lineRule="exact"/>
              <w:ind w:firstLineChars="75" w:firstLine="180"/>
              <w:jc w:val="both"/>
              <w:rPr>
                <w:rFonts w:eastAsia="標楷體" w:hint="eastAsia"/>
                <w:bCs/>
                <w:color w:val="000000"/>
              </w:rPr>
            </w:pPr>
            <w:r>
              <w:rPr>
                <w:rFonts w:eastAsia="標楷體" w:hint="eastAsia"/>
                <w:bCs/>
                <w:color w:val="000000"/>
              </w:rPr>
              <w:t>7-5</w:t>
            </w:r>
          </w:p>
        </w:tc>
        <w:tc>
          <w:tcPr>
            <w:tcW w:w="2552" w:type="dxa"/>
          </w:tcPr>
          <w:p w14:paraId="516E736A"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長期放款</w:t>
            </w:r>
          </w:p>
        </w:tc>
        <w:tc>
          <w:tcPr>
            <w:tcW w:w="227" w:type="dxa"/>
          </w:tcPr>
          <w:p w14:paraId="154E9389"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027EA313"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長期放款為授信期限超過七年之信用放款。</w:t>
            </w:r>
          </w:p>
        </w:tc>
      </w:tr>
      <w:tr w:rsidR="00E32497" w14:paraId="0B27805A" w14:textId="77777777">
        <w:tblPrEx>
          <w:tblCellMar>
            <w:top w:w="0" w:type="dxa"/>
            <w:bottom w:w="0" w:type="dxa"/>
          </w:tblCellMar>
        </w:tblPrEx>
        <w:tc>
          <w:tcPr>
            <w:tcW w:w="700" w:type="dxa"/>
          </w:tcPr>
          <w:p w14:paraId="4E120023" w14:textId="77777777" w:rsidR="00E32497" w:rsidRDefault="00E32497">
            <w:pPr>
              <w:spacing w:beforeLines="50" w:before="120" w:line="340" w:lineRule="exact"/>
              <w:ind w:firstLineChars="75" w:firstLine="180"/>
              <w:jc w:val="both"/>
              <w:rPr>
                <w:rFonts w:eastAsia="標楷體" w:hint="eastAsia"/>
                <w:bCs/>
                <w:color w:val="000000"/>
              </w:rPr>
            </w:pPr>
            <w:r>
              <w:rPr>
                <w:rFonts w:eastAsia="標楷體" w:hint="eastAsia"/>
                <w:bCs/>
                <w:color w:val="000000"/>
              </w:rPr>
              <w:lastRenderedPageBreak/>
              <w:t>7-6</w:t>
            </w:r>
          </w:p>
        </w:tc>
        <w:tc>
          <w:tcPr>
            <w:tcW w:w="2552" w:type="dxa"/>
          </w:tcPr>
          <w:p w14:paraId="239C2811"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進出口押匯</w:t>
            </w:r>
          </w:p>
        </w:tc>
        <w:tc>
          <w:tcPr>
            <w:tcW w:w="227" w:type="dxa"/>
          </w:tcPr>
          <w:p w14:paraId="38B9D67D"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4C6649BC"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憑押匯單據</w:t>
            </w:r>
            <w:proofErr w:type="gramStart"/>
            <w:r>
              <w:rPr>
                <w:rFonts w:eastAsia="標楷體" w:hint="eastAsia"/>
                <w:bCs/>
                <w:color w:val="000000"/>
                <w:sz w:val="26"/>
              </w:rPr>
              <w:t>承作</w:t>
            </w:r>
            <w:proofErr w:type="gramEnd"/>
            <w:r>
              <w:rPr>
                <w:rFonts w:eastAsia="標楷體" w:hint="eastAsia"/>
                <w:bCs/>
                <w:color w:val="000000"/>
                <w:sz w:val="26"/>
              </w:rPr>
              <w:t>之進、出口融資。</w:t>
            </w:r>
          </w:p>
        </w:tc>
      </w:tr>
      <w:tr w:rsidR="00E32497" w14:paraId="7669D5E0" w14:textId="77777777">
        <w:tblPrEx>
          <w:tblCellMar>
            <w:top w:w="0" w:type="dxa"/>
            <w:bottom w:w="0" w:type="dxa"/>
          </w:tblCellMar>
        </w:tblPrEx>
        <w:tc>
          <w:tcPr>
            <w:tcW w:w="700" w:type="dxa"/>
          </w:tcPr>
          <w:p w14:paraId="0573A203"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8.</w:t>
            </w:r>
          </w:p>
        </w:tc>
        <w:tc>
          <w:tcPr>
            <w:tcW w:w="2552" w:type="dxa"/>
          </w:tcPr>
          <w:p w14:paraId="401B1219"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中小企業</w:t>
            </w:r>
          </w:p>
        </w:tc>
        <w:tc>
          <w:tcPr>
            <w:tcW w:w="227" w:type="dxa"/>
          </w:tcPr>
          <w:p w14:paraId="69922E15"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27FED623" w14:textId="77777777" w:rsidR="00E32497" w:rsidRDefault="00094756">
            <w:pPr>
              <w:spacing w:beforeLines="50" w:before="120" w:line="340" w:lineRule="exact"/>
              <w:jc w:val="both"/>
              <w:rPr>
                <w:rFonts w:eastAsia="標楷體" w:hint="eastAsia"/>
                <w:bCs/>
                <w:color w:val="000000"/>
                <w:sz w:val="26"/>
              </w:rPr>
            </w:pPr>
            <w:r>
              <w:rPr>
                <w:rFonts w:eastAsia="標楷體" w:hint="eastAsia"/>
                <w:bCs/>
                <w:color w:val="000000"/>
                <w:sz w:val="26"/>
              </w:rPr>
              <w:t>100</w:t>
            </w:r>
            <w:r>
              <w:rPr>
                <w:rFonts w:eastAsia="標楷體" w:hint="eastAsia"/>
                <w:bCs/>
                <w:color w:val="000000"/>
                <w:sz w:val="26"/>
              </w:rPr>
              <w:t>年</w:t>
            </w:r>
            <w:r>
              <w:rPr>
                <w:rFonts w:eastAsia="標楷體" w:hint="eastAsia"/>
                <w:bCs/>
                <w:color w:val="000000"/>
                <w:sz w:val="26"/>
              </w:rPr>
              <w:t>12</w:t>
            </w:r>
            <w:r>
              <w:rPr>
                <w:rFonts w:eastAsia="標楷體" w:hint="eastAsia"/>
                <w:bCs/>
                <w:color w:val="000000"/>
                <w:sz w:val="26"/>
              </w:rPr>
              <w:t>月</w:t>
            </w:r>
            <w:r>
              <w:rPr>
                <w:rFonts w:eastAsia="標楷體" w:hint="eastAsia"/>
                <w:bCs/>
                <w:color w:val="000000"/>
                <w:sz w:val="26"/>
              </w:rPr>
              <w:t>(</w:t>
            </w:r>
            <w:r>
              <w:rPr>
                <w:rFonts w:eastAsia="標楷體" w:hint="eastAsia"/>
                <w:bCs/>
                <w:color w:val="000000"/>
                <w:sz w:val="26"/>
              </w:rPr>
              <w:t>含</w:t>
            </w:r>
            <w:r>
              <w:rPr>
                <w:rFonts w:eastAsia="標楷體" w:hint="eastAsia"/>
                <w:bCs/>
                <w:color w:val="000000"/>
                <w:sz w:val="26"/>
              </w:rPr>
              <w:t>)</w:t>
            </w:r>
            <w:r>
              <w:rPr>
                <w:rFonts w:eastAsia="標楷體" w:hint="eastAsia"/>
                <w:bCs/>
                <w:color w:val="000000"/>
                <w:sz w:val="26"/>
              </w:rPr>
              <w:t>前，</w:t>
            </w:r>
            <w:r w:rsidR="00E32497">
              <w:rPr>
                <w:rFonts w:eastAsia="標楷體" w:hint="eastAsia"/>
                <w:bCs/>
                <w:color w:val="000000"/>
                <w:sz w:val="26"/>
              </w:rPr>
              <w:t>所稱中小企業，係符合經濟部依「中小企業發展條例」第</w:t>
            </w:r>
            <w:r w:rsidR="00E32497">
              <w:rPr>
                <w:rFonts w:eastAsia="標楷體" w:hint="eastAsia"/>
                <w:bCs/>
                <w:color w:val="000000"/>
                <w:sz w:val="26"/>
              </w:rPr>
              <w:t>2</w:t>
            </w:r>
            <w:r w:rsidR="00E32497">
              <w:rPr>
                <w:rFonts w:eastAsia="標楷體" w:hint="eastAsia"/>
                <w:bCs/>
                <w:color w:val="000000"/>
                <w:sz w:val="26"/>
              </w:rPr>
              <w:t>條第</w:t>
            </w:r>
            <w:r w:rsidR="00E32497">
              <w:rPr>
                <w:rFonts w:eastAsia="標楷體" w:hint="eastAsia"/>
                <w:bCs/>
                <w:color w:val="000000"/>
                <w:sz w:val="26"/>
              </w:rPr>
              <w:t>2</w:t>
            </w:r>
            <w:r w:rsidR="00E32497">
              <w:rPr>
                <w:rFonts w:eastAsia="標楷體" w:hint="eastAsia"/>
                <w:bCs/>
                <w:color w:val="000000"/>
                <w:sz w:val="26"/>
              </w:rPr>
              <w:t>項規定所發布之</w:t>
            </w:r>
            <w:bookmarkStart w:id="0" w:name="OLE_LINK1"/>
            <w:bookmarkStart w:id="1" w:name="OLE_LINK2"/>
            <w:r w:rsidR="00E32497">
              <w:rPr>
                <w:rFonts w:eastAsia="標楷體" w:hint="eastAsia"/>
                <w:bCs/>
                <w:color w:val="000000"/>
                <w:sz w:val="26"/>
              </w:rPr>
              <w:t>「中小企業認定標準」</w:t>
            </w:r>
            <w:bookmarkEnd w:id="0"/>
            <w:bookmarkEnd w:id="1"/>
            <w:r w:rsidR="00E32497">
              <w:rPr>
                <w:rFonts w:eastAsia="標楷體" w:hint="eastAsia"/>
                <w:bCs/>
                <w:color w:val="000000"/>
                <w:sz w:val="26"/>
              </w:rPr>
              <w:t>，並包括經財團法人中小企業信用保證基金保證</w:t>
            </w:r>
            <w:r w:rsidR="006E25B2">
              <w:rPr>
                <w:rFonts w:eastAsia="標楷體" w:hint="eastAsia"/>
                <w:bCs/>
                <w:color w:val="000000"/>
                <w:sz w:val="26"/>
              </w:rPr>
              <w:t>之中小企業</w:t>
            </w:r>
            <w:r w:rsidR="00E32497">
              <w:rPr>
                <w:rFonts w:eastAsia="標楷體" w:hint="eastAsia"/>
                <w:bCs/>
                <w:color w:val="000000"/>
                <w:sz w:val="26"/>
              </w:rPr>
              <w:t>。</w:t>
            </w:r>
          </w:p>
        </w:tc>
      </w:tr>
      <w:tr w:rsidR="00BE129D" w14:paraId="111FD483" w14:textId="77777777">
        <w:tblPrEx>
          <w:tblCellMar>
            <w:top w:w="0" w:type="dxa"/>
            <w:bottom w:w="0" w:type="dxa"/>
          </w:tblCellMar>
        </w:tblPrEx>
        <w:tc>
          <w:tcPr>
            <w:tcW w:w="700" w:type="dxa"/>
          </w:tcPr>
          <w:p w14:paraId="553EF86C" w14:textId="77777777" w:rsidR="00BE129D" w:rsidRDefault="00BE129D">
            <w:pPr>
              <w:spacing w:beforeLines="50" w:before="120" w:line="340" w:lineRule="exact"/>
              <w:jc w:val="both"/>
              <w:rPr>
                <w:rFonts w:eastAsia="標楷體" w:hint="eastAsia"/>
                <w:bCs/>
                <w:color w:val="000000"/>
                <w:sz w:val="26"/>
              </w:rPr>
            </w:pPr>
          </w:p>
        </w:tc>
        <w:tc>
          <w:tcPr>
            <w:tcW w:w="2552" w:type="dxa"/>
          </w:tcPr>
          <w:p w14:paraId="6BCD1F6C" w14:textId="77777777" w:rsidR="00BE129D" w:rsidRDefault="00BE129D">
            <w:pPr>
              <w:spacing w:beforeLines="50" w:before="120" w:line="340" w:lineRule="exact"/>
              <w:jc w:val="distribute"/>
              <w:rPr>
                <w:rFonts w:eastAsia="標楷體" w:hint="eastAsia"/>
                <w:bCs/>
                <w:color w:val="000000"/>
                <w:sz w:val="26"/>
              </w:rPr>
            </w:pPr>
          </w:p>
        </w:tc>
        <w:tc>
          <w:tcPr>
            <w:tcW w:w="227" w:type="dxa"/>
          </w:tcPr>
          <w:p w14:paraId="373B6A6C" w14:textId="77777777" w:rsidR="00BE129D" w:rsidRDefault="00BE129D">
            <w:pPr>
              <w:spacing w:beforeLines="50" w:before="120" w:line="340" w:lineRule="exact"/>
              <w:jc w:val="center"/>
              <w:rPr>
                <w:rFonts w:eastAsia="標楷體" w:hint="eastAsia"/>
                <w:bCs/>
                <w:color w:val="000000"/>
                <w:sz w:val="26"/>
              </w:rPr>
            </w:pPr>
          </w:p>
        </w:tc>
        <w:tc>
          <w:tcPr>
            <w:tcW w:w="10735" w:type="dxa"/>
          </w:tcPr>
          <w:p w14:paraId="7D6E7232" w14:textId="77777777" w:rsidR="00BE129D" w:rsidRPr="00E32EF5" w:rsidRDefault="00BE129D" w:rsidP="00E32EF5">
            <w:pPr>
              <w:spacing w:beforeLines="50" w:before="120" w:line="340" w:lineRule="exact"/>
              <w:jc w:val="both"/>
              <w:rPr>
                <w:rFonts w:eastAsia="標楷體" w:hint="eastAsia"/>
                <w:bCs/>
                <w:color w:val="000000"/>
                <w:sz w:val="26"/>
              </w:rPr>
            </w:pPr>
            <w:r>
              <w:rPr>
                <w:rFonts w:eastAsia="標楷體" w:hint="eastAsia"/>
                <w:bCs/>
                <w:color w:val="000000"/>
                <w:sz w:val="26"/>
              </w:rPr>
              <w:t>101</w:t>
            </w:r>
            <w:r>
              <w:rPr>
                <w:rFonts w:eastAsia="標楷體" w:hint="eastAsia"/>
                <w:bCs/>
                <w:color w:val="000000"/>
                <w:sz w:val="26"/>
              </w:rPr>
              <w:t>年</w:t>
            </w:r>
            <w:r>
              <w:rPr>
                <w:rFonts w:eastAsia="標楷體" w:hint="eastAsia"/>
                <w:bCs/>
                <w:color w:val="000000"/>
                <w:sz w:val="26"/>
              </w:rPr>
              <w:t>1</w:t>
            </w:r>
            <w:r>
              <w:rPr>
                <w:rFonts w:eastAsia="標楷體" w:hint="eastAsia"/>
                <w:bCs/>
                <w:color w:val="000000"/>
                <w:sz w:val="26"/>
              </w:rPr>
              <w:t>月</w:t>
            </w:r>
            <w:r>
              <w:rPr>
                <w:rFonts w:eastAsia="標楷體" w:hint="eastAsia"/>
                <w:bCs/>
                <w:color w:val="000000"/>
                <w:sz w:val="26"/>
              </w:rPr>
              <w:t>(</w:t>
            </w:r>
            <w:r>
              <w:rPr>
                <w:rFonts w:eastAsia="標楷體" w:hint="eastAsia"/>
                <w:bCs/>
                <w:color w:val="000000"/>
                <w:sz w:val="26"/>
              </w:rPr>
              <w:t>含</w:t>
            </w:r>
            <w:r>
              <w:rPr>
                <w:rFonts w:eastAsia="標楷體" w:hint="eastAsia"/>
                <w:bCs/>
                <w:color w:val="000000"/>
                <w:sz w:val="26"/>
              </w:rPr>
              <w:t>)</w:t>
            </w:r>
            <w:r>
              <w:rPr>
                <w:rFonts w:eastAsia="標楷體" w:hint="eastAsia"/>
                <w:bCs/>
                <w:color w:val="000000"/>
                <w:sz w:val="26"/>
              </w:rPr>
              <w:t>起，所稱中小企業，除符合「中小企業認定標準」之中小企業外，另增列</w:t>
            </w:r>
            <w:r w:rsidR="00E32EF5" w:rsidRPr="00E32EF5">
              <w:rPr>
                <w:rFonts w:eastAsia="標楷體" w:hint="eastAsia"/>
                <w:bCs/>
                <w:color w:val="000000"/>
                <w:sz w:val="26"/>
              </w:rPr>
              <w:t>經中小企業信用保證基金保證符合「商業登記法」第五條之小規模商業及認定視同中小企業者</w:t>
            </w:r>
            <w:r w:rsidR="00E32EF5">
              <w:rPr>
                <w:rFonts w:eastAsia="標楷體" w:hint="eastAsia"/>
                <w:bCs/>
                <w:color w:val="000000"/>
                <w:sz w:val="26"/>
              </w:rPr>
              <w:t>。</w:t>
            </w:r>
          </w:p>
        </w:tc>
      </w:tr>
      <w:tr w:rsidR="00E32497" w14:paraId="0FD58890" w14:textId="77777777">
        <w:tblPrEx>
          <w:tblCellMar>
            <w:top w:w="0" w:type="dxa"/>
            <w:bottom w:w="0" w:type="dxa"/>
          </w:tblCellMar>
        </w:tblPrEx>
        <w:tc>
          <w:tcPr>
            <w:tcW w:w="700" w:type="dxa"/>
          </w:tcPr>
          <w:p w14:paraId="0D28723F"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9.</w:t>
            </w:r>
          </w:p>
        </w:tc>
        <w:tc>
          <w:tcPr>
            <w:tcW w:w="2552" w:type="dxa"/>
          </w:tcPr>
          <w:p w14:paraId="63B38764"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保證款項</w:t>
            </w:r>
          </w:p>
        </w:tc>
        <w:tc>
          <w:tcPr>
            <w:tcW w:w="227" w:type="dxa"/>
          </w:tcPr>
          <w:p w14:paraId="795E037B"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26B88510"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銀行與其委託人之債權人約定，於其委託人不能履行債務時，由銀行代負履行責任之授信業務。</w:t>
            </w:r>
          </w:p>
        </w:tc>
      </w:tr>
      <w:tr w:rsidR="00E32497" w14:paraId="09AB49B8" w14:textId="77777777">
        <w:tblPrEx>
          <w:tblCellMar>
            <w:top w:w="0" w:type="dxa"/>
            <w:bottom w:w="0" w:type="dxa"/>
          </w:tblCellMar>
        </w:tblPrEx>
        <w:tc>
          <w:tcPr>
            <w:tcW w:w="700" w:type="dxa"/>
          </w:tcPr>
          <w:p w14:paraId="0DE4B64F"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10.</w:t>
            </w:r>
          </w:p>
        </w:tc>
        <w:tc>
          <w:tcPr>
            <w:tcW w:w="2552" w:type="dxa"/>
          </w:tcPr>
          <w:p w14:paraId="1A32BECE"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商業本票</w:t>
            </w:r>
          </w:p>
        </w:tc>
        <w:tc>
          <w:tcPr>
            <w:tcW w:w="227" w:type="dxa"/>
          </w:tcPr>
          <w:p w14:paraId="27CEB0F7"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3F67BC30"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係指企業以簽發遠期支票之方式，於貨幣市場公開發行，取得融通資金之信用工具。分為二類</w:t>
            </w:r>
          </w:p>
        </w:tc>
      </w:tr>
      <w:tr w:rsidR="00E32497" w14:paraId="4E0B778A" w14:textId="77777777">
        <w:tblPrEx>
          <w:tblCellMar>
            <w:top w:w="0" w:type="dxa"/>
            <w:bottom w:w="0" w:type="dxa"/>
          </w:tblCellMar>
        </w:tblPrEx>
        <w:tc>
          <w:tcPr>
            <w:tcW w:w="700" w:type="dxa"/>
          </w:tcPr>
          <w:p w14:paraId="0B37C7E0" w14:textId="77777777" w:rsidR="00E32497" w:rsidRDefault="00E32497">
            <w:pPr>
              <w:spacing w:beforeLines="50" w:before="120" w:line="340" w:lineRule="exact"/>
              <w:jc w:val="both"/>
              <w:rPr>
                <w:rFonts w:eastAsia="標楷體" w:hint="eastAsia"/>
                <w:bCs/>
                <w:color w:val="000000"/>
                <w:sz w:val="26"/>
              </w:rPr>
            </w:pPr>
          </w:p>
        </w:tc>
        <w:tc>
          <w:tcPr>
            <w:tcW w:w="2552" w:type="dxa"/>
          </w:tcPr>
          <w:p w14:paraId="75FBA068" w14:textId="77777777" w:rsidR="00E32497" w:rsidRDefault="00E32497">
            <w:pPr>
              <w:spacing w:beforeLines="50" w:before="120" w:line="340" w:lineRule="exact"/>
              <w:jc w:val="distribute"/>
              <w:rPr>
                <w:rFonts w:eastAsia="標楷體" w:hint="eastAsia"/>
                <w:bCs/>
                <w:color w:val="000000"/>
                <w:sz w:val="26"/>
              </w:rPr>
            </w:pPr>
          </w:p>
        </w:tc>
        <w:tc>
          <w:tcPr>
            <w:tcW w:w="227" w:type="dxa"/>
          </w:tcPr>
          <w:p w14:paraId="5145B349" w14:textId="77777777" w:rsidR="00E32497" w:rsidRDefault="00E32497">
            <w:pPr>
              <w:spacing w:beforeLines="50" w:before="120" w:line="340" w:lineRule="exact"/>
              <w:jc w:val="center"/>
              <w:rPr>
                <w:rFonts w:eastAsia="標楷體" w:hint="eastAsia"/>
                <w:bCs/>
                <w:color w:val="000000"/>
                <w:sz w:val="26"/>
              </w:rPr>
            </w:pPr>
          </w:p>
        </w:tc>
        <w:tc>
          <w:tcPr>
            <w:tcW w:w="10735" w:type="dxa"/>
          </w:tcPr>
          <w:p w14:paraId="79FBDAF2"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第一類商業本票為具有實際交易行為依據之交易票據。</w:t>
            </w:r>
          </w:p>
        </w:tc>
      </w:tr>
      <w:tr w:rsidR="00E32497" w14:paraId="5BF5DC9C" w14:textId="77777777">
        <w:tblPrEx>
          <w:tblCellMar>
            <w:top w:w="0" w:type="dxa"/>
            <w:bottom w:w="0" w:type="dxa"/>
          </w:tblCellMar>
        </w:tblPrEx>
        <w:tc>
          <w:tcPr>
            <w:tcW w:w="700" w:type="dxa"/>
          </w:tcPr>
          <w:p w14:paraId="28F5CC44" w14:textId="77777777" w:rsidR="00E32497" w:rsidRDefault="00E32497">
            <w:pPr>
              <w:spacing w:beforeLines="50" w:before="120" w:line="340" w:lineRule="exact"/>
              <w:jc w:val="both"/>
              <w:rPr>
                <w:rFonts w:eastAsia="標楷體" w:hint="eastAsia"/>
                <w:bCs/>
                <w:color w:val="000000"/>
                <w:sz w:val="26"/>
              </w:rPr>
            </w:pPr>
          </w:p>
        </w:tc>
        <w:tc>
          <w:tcPr>
            <w:tcW w:w="2552" w:type="dxa"/>
          </w:tcPr>
          <w:p w14:paraId="78AA0C17" w14:textId="77777777" w:rsidR="00E32497" w:rsidRDefault="00E32497">
            <w:pPr>
              <w:spacing w:beforeLines="50" w:before="120" w:line="340" w:lineRule="exact"/>
              <w:jc w:val="distribute"/>
              <w:rPr>
                <w:rFonts w:eastAsia="標楷體" w:hint="eastAsia"/>
                <w:bCs/>
                <w:color w:val="000000"/>
                <w:sz w:val="26"/>
              </w:rPr>
            </w:pPr>
          </w:p>
        </w:tc>
        <w:tc>
          <w:tcPr>
            <w:tcW w:w="227" w:type="dxa"/>
          </w:tcPr>
          <w:p w14:paraId="2E9EC1D2" w14:textId="77777777" w:rsidR="00E32497" w:rsidRDefault="00E32497">
            <w:pPr>
              <w:spacing w:beforeLines="50" w:before="120" w:line="340" w:lineRule="exact"/>
              <w:jc w:val="center"/>
              <w:rPr>
                <w:rFonts w:eastAsia="標楷體" w:hint="eastAsia"/>
                <w:bCs/>
                <w:color w:val="000000"/>
                <w:sz w:val="26"/>
              </w:rPr>
            </w:pPr>
          </w:p>
        </w:tc>
        <w:tc>
          <w:tcPr>
            <w:tcW w:w="10735" w:type="dxa"/>
          </w:tcPr>
          <w:p w14:paraId="1B7E6BAF"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第二類商業本票為企業為籌措短期週轉資金而發行之融資性商業本票。</w:t>
            </w:r>
          </w:p>
        </w:tc>
      </w:tr>
      <w:tr w:rsidR="00E32497" w14:paraId="0353A3AA" w14:textId="77777777">
        <w:tblPrEx>
          <w:tblCellMar>
            <w:top w:w="0" w:type="dxa"/>
            <w:bottom w:w="0" w:type="dxa"/>
          </w:tblCellMar>
        </w:tblPrEx>
        <w:tc>
          <w:tcPr>
            <w:tcW w:w="700" w:type="dxa"/>
          </w:tcPr>
          <w:p w14:paraId="021D23D1"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11.</w:t>
            </w:r>
          </w:p>
        </w:tc>
        <w:tc>
          <w:tcPr>
            <w:tcW w:w="2552" w:type="dxa"/>
          </w:tcPr>
          <w:p w14:paraId="32F3C5EB" w14:textId="77777777" w:rsidR="00E32497" w:rsidRDefault="00E32497" w:rsidP="002E7EBA">
            <w:pPr>
              <w:spacing w:beforeLines="50" w:before="120" w:line="340" w:lineRule="exact"/>
              <w:jc w:val="distribute"/>
              <w:rPr>
                <w:rFonts w:eastAsia="標楷體" w:hint="eastAsia"/>
                <w:bCs/>
                <w:color w:val="000000"/>
                <w:sz w:val="26"/>
              </w:rPr>
            </w:pPr>
            <w:r>
              <w:rPr>
                <w:rFonts w:eastAsia="標楷體" w:hint="eastAsia"/>
                <w:bCs/>
                <w:color w:val="000000"/>
                <w:sz w:val="26"/>
              </w:rPr>
              <w:t>銀行可轉讓定期存單</w:t>
            </w:r>
          </w:p>
        </w:tc>
        <w:tc>
          <w:tcPr>
            <w:tcW w:w="227" w:type="dxa"/>
          </w:tcPr>
          <w:p w14:paraId="4CFC9CAB"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121323DE"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係指銀行簽發於特定期間按約定利率支付利息之存款憑據。</w:t>
            </w:r>
          </w:p>
        </w:tc>
      </w:tr>
      <w:tr w:rsidR="00E32497" w14:paraId="07839562" w14:textId="77777777">
        <w:tblPrEx>
          <w:tblCellMar>
            <w:top w:w="0" w:type="dxa"/>
            <w:bottom w:w="0" w:type="dxa"/>
          </w:tblCellMar>
        </w:tblPrEx>
        <w:tc>
          <w:tcPr>
            <w:tcW w:w="700" w:type="dxa"/>
          </w:tcPr>
          <w:p w14:paraId="3ABA6416"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12.</w:t>
            </w:r>
          </w:p>
        </w:tc>
        <w:tc>
          <w:tcPr>
            <w:tcW w:w="2552" w:type="dxa"/>
          </w:tcPr>
          <w:p w14:paraId="1B9E63BB"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銀行承兌匯票</w:t>
            </w:r>
          </w:p>
        </w:tc>
        <w:tc>
          <w:tcPr>
            <w:tcW w:w="227" w:type="dxa"/>
          </w:tcPr>
          <w:p w14:paraId="2664CF35"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046DE8AB"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係指商業交易行為之買方或賣方委託銀行為付款人而經銀行承兌之遠期匯票。</w:t>
            </w:r>
          </w:p>
        </w:tc>
      </w:tr>
      <w:tr w:rsidR="00E32497" w14:paraId="1A4DAC6B" w14:textId="77777777">
        <w:tblPrEx>
          <w:tblCellMar>
            <w:top w:w="0" w:type="dxa"/>
            <w:bottom w:w="0" w:type="dxa"/>
          </w:tblCellMar>
        </w:tblPrEx>
        <w:tc>
          <w:tcPr>
            <w:tcW w:w="700" w:type="dxa"/>
          </w:tcPr>
          <w:p w14:paraId="5E0678FD"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13.</w:t>
            </w:r>
          </w:p>
        </w:tc>
        <w:tc>
          <w:tcPr>
            <w:tcW w:w="2552" w:type="dxa"/>
          </w:tcPr>
          <w:p w14:paraId="395C5814"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金融債券</w:t>
            </w:r>
          </w:p>
        </w:tc>
        <w:tc>
          <w:tcPr>
            <w:tcW w:w="227" w:type="dxa"/>
          </w:tcPr>
          <w:p w14:paraId="26ABCCC3"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27DB11FC"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依照銀行法有關規定，為供給中、長期信用，報經中央主管機關核准發行之債券屬之。</w:t>
            </w:r>
          </w:p>
        </w:tc>
      </w:tr>
      <w:tr w:rsidR="00E32497" w14:paraId="6A827C27" w14:textId="77777777">
        <w:tblPrEx>
          <w:tblCellMar>
            <w:top w:w="0" w:type="dxa"/>
            <w:bottom w:w="0" w:type="dxa"/>
          </w:tblCellMar>
        </w:tblPrEx>
        <w:tc>
          <w:tcPr>
            <w:tcW w:w="700" w:type="dxa"/>
          </w:tcPr>
          <w:p w14:paraId="30DC3D5E"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14.</w:t>
            </w:r>
          </w:p>
        </w:tc>
        <w:tc>
          <w:tcPr>
            <w:tcW w:w="2552" w:type="dxa"/>
          </w:tcPr>
          <w:p w14:paraId="0C2B1758" w14:textId="77777777" w:rsidR="00E32497" w:rsidRDefault="00E32497">
            <w:pPr>
              <w:spacing w:beforeLines="50" w:before="120" w:line="340" w:lineRule="exact"/>
              <w:jc w:val="distribute"/>
              <w:rPr>
                <w:rFonts w:eastAsia="標楷體" w:hint="eastAsia"/>
                <w:bCs/>
                <w:color w:val="000000"/>
                <w:sz w:val="26"/>
              </w:rPr>
            </w:pPr>
            <w:r>
              <w:rPr>
                <w:rFonts w:eastAsia="標楷體"/>
                <w:bCs/>
                <w:color w:val="000000"/>
                <w:sz w:val="26"/>
              </w:rPr>
              <w:t>衍生性金融商品</w:t>
            </w:r>
          </w:p>
        </w:tc>
        <w:tc>
          <w:tcPr>
            <w:tcW w:w="227" w:type="dxa"/>
          </w:tcPr>
          <w:p w14:paraId="6C2B366D"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50D3DAEC" w14:textId="77777777" w:rsidR="00E32497" w:rsidRDefault="00E32497">
            <w:pPr>
              <w:spacing w:beforeLines="50" w:before="120" w:line="340" w:lineRule="exact"/>
              <w:jc w:val="both"/>
              <w:rPr>
                <w:rFonts w:eastAsia="標楷體" w:hint="eastAsia"/>
                <w:bCs/>
                <w:color w:val="000000"/>
                <w:sz w:val="26"/>
              </w:rPr>
            </w:pPr>
            <w:r>
              <w:rPr>
                <w:rFonts w:eastAsia="標楷體"/>
                <w:bCs/>
                <w:color w:val="000000"/>
                <w:sz w:val="26"/>
              </w:rPr>
              <w:t>衍生性金融商品係指其價值由利率、匯率、股價、指數、商品或其他利益及其組合等所衍生之交易契約。一般可分為直接衍生型與商品組合型，而常見基本型的衍生性金融商品有遠期契約（</w:t>
            </w:r>
            <w:r>
              <w:rPr>
                <w:rFonts w:eastAsia="標楷體"/>
                <w:bCs/>
                <w:color w:val="000000"/>
                <w:sz w:val="26"/>
              </w:rPr>
              <w:t>Forwards</w:t>
            </w:r>
            <w:r>
              <w:rPr>
                <w:rFonts w:eastAsia="標楷體"/>
                <w:bCs/>
                <w:color w:val="000000"/>
                <w:sz w:val="26"/>
              </w:rPr>
              <w:t>）、期貨契約（</w:t>
            </w:r>
            <w:r>
              <w:rPr>
                <w:rFonts w:eastAsia="標楷體"/>
                <w:bCs/>
                <w:color w:val="000000"/>
                <w:sz w:val="26"/>
              </w:rPr>
              <w:t>Futures</w:t>
            </w:r>
            <w:r>
              <w:rPr>
                <w:rFonts w:eastAsia="標楷體"/>
                <w:bCs/>
                <w:color w:val="000000"/>
                <w:sz w:val="26"/>
              </w:rPr>
              <w:t>）、交換契約（</w:t>
            </w:r>
            <w:r>
              <w:rPr>
                <w:rFonts w:eastAsia="標楷體"/>
                <w:bCs/>
                <w:color w:val="000000"/>
                <w:sz w:val="26"/>
              </w:rPr>
              <w:t>Swap</w:t>
            </w:r>
            <w:r>
              <w:rPr>
                <w:rFonts w:eastAsia="標楷體"/>
                <w:bCs/>
                <w:color w:val="000000"/>
                <w:sz w:val="26"/>
              </w:rPr>
              <w:t>）及選擇權契約（</w:t>
            </w:r>
            <w:r>
              <w:rPr>
                <w:rFonts w:eastAsia="標楷體"/>
                <w:bCs/>
                <w:color w:val="000000"/>
                <w:sz w:val="26"/>
              </w:rPr>
              <w:t>Options</w:t>
            </w:r>
            <w:r>
              <w:rPr>
                <w:rFonts w:eastAsia="標楷體"/>
                <w:bCs/>
                <w:color w:val="000000"/>
                <w:sz w:val="26"/>
              </w:rPr>
              <w:t>）等四種。</w:t>
            </w:r>
          </w:p>
        </w:tc>
      </w:tr>
      <w:tr w:rsidR="00E32497" w14:paraId="759A76E4" w14:textId="77777777">
        <w:tblPrEx>
          <w:tblCellMar>
            <w:top w:w="0" w:type="dxa"/>
            <w:bottom w:w="0" w:type="dxa"/>
          </w:tblCellMar>
        </w:tblPrEx>
        <w:tc>
          <w:tcPr>
            <w:tcW w:w="700" w:type="dxa"/>
          </w:tcPr>
          <w:p w14:paraId="2AE1DE01" w14:textId="77777777" w:rsidR="00E32497" w:rsidRDefault="00E32497">
            <w:pPr>
              <w:spacing w:beforeLines="50" w:before="120" w:line="340" w:lineRule="exact"/>
              <w:jc w:val="both"/>
              <w:rPr>
                <w:rFonts w:eastAsia="標楷體" w:hint="eastAsia"/>
                <w:bCs/>
                <w:color w:val="000000"/>
                <w:sz w:val="26"/>
              </w:rPr>
            </w:pPr>
            <w:r>
              <w:rPr>
                <w:rFonts w:eastAsia="標楷體" w:hint="eastAsia"/>
                <w:bCs/>
                <w:color w:val="000000"/>
                <w:sz w:val="26"/>
              </w:rPr>
              <w:t>15.</w:t>
            </w:r>
          </w:p>
        </w:tc>
        <w:tc>
          <w:tcPr>
            <w:tcW w:w="2552" w:type="dxa"/>
          </w:tcPr>
          <w:p w14:paraId="360E8D2D" w14:textId="77777777" w:rsidR="00E32497" w:rsidRDefault="00E32497">
            <w:pPr>
              <w:spacing w:beforeLines="50" w:before="120" w:line="340" w:lineRule="exact"/>
              <w:jc w:val="distribute"/>
              <w:rPr>
                <w:rFonts w:eastAsia="標楷體" w:hint="eastAsia"/>
                <w:bCs/>
                <w:color w:val="000000"/>
                <w:sz w:val="26"/>
              </w:rPr>
            </w:pPr>
            <w:r>
              <w:rPr>
                <w:rFonts w:eastAsia="標楷體" w:hint="eastAsia"/>
                <w:bCs/>
                <w:color w:val="000000"/>
                <w:sz w:val="26"/>
              </w:rPr>
              <w:t>信用卡</w:t>
            </w:r>
          </w:p>
        </w:tc>
        <w:tc>
          <w:tcPr>
            <w:tcW w:w="227" w:type="dxa"/>
          </w:tcPr>
          <w:p w14:paraId="674AD5C1" w14:textId="77777777" w:rsidR="00E32497" w:rsidRDefault="00E32497">
            <w:pPr>
              <w:spacing w:beforeLines="50" w:before="120" w:line="340" w:lineRule="exact"/>
              <w:jc w:val="center"/>
              <w:rPr>
                <w:rFonts w:eastAsia="標楷體" w:hint="eastAsia"/>
                <w:bCs/>
                <w:color w:val="000000"/>
                <w:sz w:val="26"/>
              </w:rPr>
            </w:pPr>
            <w:r>
              <w:rPr>
                <w:rFonts w:eastAsia="標楷體" w:hint="eastAsia"/>
                <w:bCs/>
                <w:color w:val="000000"/>
                <w:sz w:val="26"/>
              </w:rPr>
              <w:t>：</w:t>
            </w:r>
          </w:p>
        </w:tc>
        <w:tc>
          <w:tcPr>
            <w:tcW w:w="10735" w:type="dxa"/>
          </w:tcPr>
          <w:p w14:paraId="3CF74839" w14:textId="77777777" w:rsidR="00E32497" w:rsidRDefault="00E32497">
            <w:pPr>
              <w:spacing w:beforeLines="50" w:before="120" w:line="340" w:lineRule="exact"/>
              <w:jc w:val="both"/>
              <w:rPr>
                <w:rFonts w:eastAsia="標楷體" w:hint="eastAsia"/>
                <w:bCs/>
                <w:color w:val="000000"/>
                <w:sz w:val="26"/>
              </w:rPr>
            </w:pPr>
            <w:r>
              <w:rPr>
                <w:rFonts w:eastAsia="標楷體"/>
                <w:bCs/>
                <w:color w:val="000000"/>
                <w:sz w:val="26"/>
              </w:rPr>
              <w:t>指持卡人憑發卡機構之信用，向特約之第三人取得金錢、物品、勞務或其他利益，而得延後或依其他約定方式清償帳款所使用之卡片。</w:t>
            </w:r>
          </w:p>
        </w:tc>
      </w:tr>
    </w:tbl>
    <w:p w14:paraId="41CFEDE8" w14:textId="77777777" w:rsidR="00E32497" w:rsidRDefault="00E32497">
      <w:pPr>
        <w:spacing w:beforeLines="50" w:before="120" w:line="340" w:lineRule="exact"/>
        <w:jc w:val="both"/>
        <w:rPr>
          <w:rFonts w:eastAsia="標楷體" w:hint="eastAsia"/>
          <w:bCs/>
          <w:color w:val="000000"/>
          <w:sz w:val="26"/>
        </w:rPr>
      </w:pPr>
    </w:p>
    <w:sectPr w:rsidR="00E32497">
      <w:footerReference w:type="even" r:id="rId8"/>
      <w:footerReference w:type="default" r:id="rId9"/>
      <w:pgSz w:w="16840" w:h="11907" w:orient="landscape" w:code="9"/>
      <w:pgMar w:top="1304" w:right="1418" w:bottom="1304" w:left="1418" w:header="851" w:footer="567" w:gutter="0"/>
      <w:pgNumType w:start="2"/>
      <w:cols w:space="425"/>
      <w:docGrid w:linePitch="326"/>
    </w:sectPr>
  </w:body>
</w:document>
</file>

<file path=word/customizations.xml><?xml version="1.0" encoding="utf-8"?>
<wne:tcg xmlns:r="http://schemas.openxmlformats.org/officeDocument/2006/relationships" xmlns:wne="http://schemas.microsoft.com/office/word/2006/wordml">
  <wne:keymaps>
    <wne:keymap wne:kcmPrimary="0330">
      <wne:macro wne:macroName="TEMPLATEPROJECT.MODHOTKEYMENU.HKAPPLYGOVOUTLINENUMBERGALLERY"/>
    </wne:keymap>
    <wne:keymap wne:kcmPrimary="0331">
      <wne:macro wne:macroName="TEMPLATEPROJECT.MODHOTKEYMENU.HKPOSTPHRASEWINDOW"/>
    </wne:keymap>
    <wne:keymap wne:kcmPrimary="0332">
      <wne:macro wne:macroName="TEMPLATEPROJECT.MODHOTKEYMENU.HKORGNAMEPAST"/>
    </wne:keymap>
    <wne:keymap wne:kcmPrimary="0333">
      <wne:macro wne:macroName="TEMPLATEPROJECT.MODHOTKEYMENU.HKINSERTNUMBER"/>
    </wne:keymap>
    <wne:keymap wne:kcmPrimary="0334">
      <wne:macro wne:macroName="TEMPLATEPROJECT.MODHOTKEYMENU.HKINSERTDATETIME"/>
    </wne:keymap>
    <wne:keymap wne:kcmPrimary="0335">
      <wne:macro wne:macroName="TEMPLATEPROJECT.MODHOTKEYMENU.HKSETUPUSERDATA"/>
    </wne:keymap>
    <wne:keymap wne:kcmPrimary="0336">
      <wne:macro wne:macroName="TEMPLATEPROJECT.MODHOTKEYMENU.HKOPENNEWOD"/>
    </wne:keymap>
    <wne:keymap wne:kcmPrimary="0337">
      <wne:macro wne:macroName="TEMPLATEPROJECT.MODHOTKEYMENU.HKBACKUPODDOC"/>
    </wne:keymap>
    <wne:keymap wne:kcmPrimary="0338">
      <wne:macro wne:macroName="BMA_PROJECT.MODHOTKEYMENU.HKDRAFTTODOC"/>
    </wne:keymap>
    <wne:keymap wne:kcmPrimary="0339">
      <wne:macro wne:macroName="BMA_PROJECT.MODHOTKEYMENU.HKADDNEWPAGE"/>
    </wne:keymap>
    <wne:keymap wne:kcmPrimary="0350">
      <wne:macro wne:macroName="BMA_PROJECT.MODHOTKEYMENU.HKMULTIPRINTPREVIEW"/>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274B" w14:textId="77777777" w:rsidR="00615460" w:rsidRDefault="00615460">
      <w:r>
        <w:separator/>
      </w:r>
    </w:p>
  </w:endnote>
  <w:endnote w:type="continuationSeparator" w:id="0">
    <w:p w14:paraId="7D40DF91" w14:textId="77777777" w:rsidR="00615460" w:rsidRDefault="0061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華康標楷體W3">
    <w:altName w:val="新細明體"/>
    <w:charset w:val="88"/>
    <w:family w:val="modern"/>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標楷體W4(P)">
    <w:altName w:val="新細明體"/>
    <w:charset w:val="88"/>
    <w:family w:val="auto"/>
    <w:pitch w:val="variable"/>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1F27" w14:textId="77777777" w:rsidR="00E32EF5" w:rsidRDefault="00E32EF5">
    <w:pPr>
      <w:pStyle w:val="a3"/>
      <w:framePr w:wrap="around" w:vAnchor="text" w:hAnchor="margin" w:xAlign="right" w:y="1"/>
      <w:rPr>
        <w:rStyle w:val="a4"/>
      </w:rPr>
    </w:pPr>
    <w:r>
      <w:rPr>
        <w:rStyle w:val="a4"/>
      </w:rPr>
      <w:fldChar w:fldCharType="begin"/>
    </w:r>
    <w:r>
      <w:rPr>
        <w:rStyle w:val="a4"/>
      </w:rPr>
      <w:instrText xml:space="preserve">PAGE  </w:instrText>
    </w:r>
    <w:r w:rsidR="00342539">
      <w:rPr>
        <w:rStyle w:val="a4"/>
      </w:rPr>
      <w:fldChar w:fldCharType="separate"/>
    </w:r>
    <w:r w:rsidR="00342539">
      <w:rPr>
        <w:rStyle w:val="a4"/>
        <w:noProof/>
      </w:rPr>
      <w:t>2</w:t>
    </w:r>
    <w:r>
      <w:rPr>
        <w:rStyle w:val="a4"/>
      </w:rPr>
      <w:fldChar w:fldCharType="end"/>
    </w:r>
  </w:p>
  <w:p w14:paraId="0BCFF144" w14:textId="77777777" w:rsidR="00E32EF5" w:rsidRDefault="00E32EF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B6E9" w14:textId="77777777" w:rsidR="00E32EF5" w:rsidRPr="00BD5589" w:rsidRDefault="00D57F6C">
    <w:pPr>
      <w:pStyle w:val="a3"/>
      <w:jc w:val="center"/>
      <w:rPr>
        <w:rFonts w:ascii="新細明體" w:hAnsi="新細明體"/>
        <w:sz w:val="18"/>
        <w:szCs w:val="18"/>
      </w:rPr>
    </w:pPr>
    <w:r>
      <w:rPr>
        <w:rStyle w:val="a4"/>
        <w:rFonts w:ascii="新細明體" w:hAnsi="新細明體" w:hint="eastAsia"/>
        <w:sz w:val="18"/>
        <w:szCs w:val="18"/>
      </w:rPr>
      <w:t xml:space="preserve">- </w:t>
    </w:r>
    <w:r w:rsidR="00E32EF5" w:rsidRPr="00BD5589">
      <w:rPr>
        <w:rStyle w:val="a4"/>
        <w:rFonts w:ascii="新細明體" w:hAnsi="新細明體"/>
        <w:sz w:val="18"/>
        <w:szCs w:val="18"/>
      </w:rPr>
      <w:fldChar w:fldCharType="begin"/>
    </w:r>
    <w:r w:rsidR="00E32EF5" w:rsidRPr="00BD5589">
      <w:rPr>
        <w:rStyle w:val="a4"/>
        <w:rFonts w:ascii="新細明體" w:hAnsi="新細明體"/>
        <w:sz w:val="18"/>
        <w:szCs w:val="18"/>
      </w:rPr>
      <w:instrText xml:space="preserve"> PAGE </w:instrText>
    </w:r>
    <w:r w:rsidR="00E32EF5" w:rsidRPr="00BD5589">
      <w:rPr>
        <w:rStyle w:val="a4"/>
        <w:rFonts w:ascii="新細明體" w:hAnsi="新細明體"/>
        <w:sz w:val="18"/>
        <w:szCs w:val="18"/>
      </w:rPr>
      <w:fldChar w:fldCharType="separate"/>
    </w:r>
    <w:r>
      <w:rPr>
        <w:rStyle w:val="a4"/>
        <w:rFonts w:ascii="新細明體" w:hAnsi="新細明體"/>
        <w:noProof/>
        <w:sz w:val="18"/>
        <w:szCs w:val="18"/>
      </w:rPr>
      <w:t>3</w:t>
    </w:r>
    <w:r w:rsidR="00E32EF5" w:rsidRPr="00BD5589">
      <w:rPr>
        <w:rStyle w:val="a4"/>
        <w:rFonts w:ascii="新細明體" w:hAnsi="新細明體"/>
        <w:sz w:val="18"/>
        <w:szCs w:val="18"/>
      </w:rPr>
      <w:fldChar w:fldCharType="end"/>
    </w:r>
    <w:r>
      <w:rPr>
        <w:rStyle w:val="a4"/>
        <w:rFonts w:ascii="新細明體" w:hAnsi="新細明體" w:hint="eastAsi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8785" w14:textId="77777777" w:rsidR="00615460" w:rsidRDefault="00615460">
      <w:r>
        <w:separator/>
      </w:r>
    </w:p>
  </w:footnote>
  <w:footnote w:type="continuationSeparator" w:id="0">
    <w:p w14:paraId="0B87EF72" w14:textId="77777777" w:rsidR="00615460" w:rsidRDefault="00615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735"/>
    <w:multiLevelType w:val="singleLevel"/>
    <w:tmpl w:val="346EC348"/>
    <w:lvl w:ilvl="0">
      <w:start w:val="9"/>
      <w:numFmt w:val="decimal"/>
      <w:lvlText w:val="%1."/>
      <w:legacy w:legacy="1" w:legacySpace="0" w:legacyIndent="300"/>
      <w:lvlJc w:val="left"/>
      <w:pPr>
        <w:ind w:left="1020" w:hanging="300"/>
      </w:pPr>
      <w:rPr>
        <w:rFonts w:ascii="華康標楷體W3" w:eastAsia="華康標楷體W3" w:hint="eastAsia"/>
        <w:b/>
        <w:i w:val="0"/>
        <w:sz w:val="28"/>
        <w:u w:val="none"/>
      </w:rPr>
    </w:lvl>
  </w:abstractNum>
  <w:abstractNum w:abstractNumId="1" w15:restartNumberingAfterBreak="0">
    <w:nsid w:val="02971418"/>
    <w:multiLevelType w:val="hybridMultilevel"/>
    <w:tmpl w:val="FDBA58F4"/>
    <w:lvl w:ilvl="0" w:tplc="AD3097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6624FA"/>
    <w:multiLevelType w:val="hybridMultilevel"/>
    <w:tmpl w:val="817604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7D4EE7"/>
    <w:multiLevelType w:val="hybridMultilevel"/>
    <w:tmpl w:val="4AA29644"/>
    <w:lvl w:ilvl="0" w:tplc="AD3097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E75FB2"/>
    <w:multiLevelType w:val="singleLevel"/>
    <w:tmpl w:val="EAD6CDF0"/>
    <w:lvl w:ilvl="0">
      <w:start w:val="1"/>
      <w:numFmt w:val="decimal"/>
      <w:lvlText w:val=""/>
      <w:lvlJc w:val="left"/>
      <w:pPr>
        <w:tabs>
          <w:tab w:val="num" w:pos="360"/>
        </w:tabs>
        <w:ind w:left="360" w:hanging="360"/>
      </w:pPr>
      <w:rPr>
        <w:rFonts w:ascii="Times New Roman" w:hint="default"/>
      </w:rPr>
    </w:lvl>
  </w:abstractNum>
  <w:abstractNum w:abstractNumId="5" w15:restartNumberingAfterBreak="0">
    <w:nsid w:val="15B90074"/>
    <w:multiLevelType w:val="hybridMultilevel"/>
    <w:tmpl w:val="39C47248"/>
    <w:lvl w:ilvl="0" w:tplc="3B161274">
      <w:start w:val="1"/>
      <w:numFmt w:val="decimal"/>
      <w:lvlText w:val="%1."/>
      <w:lvlJc w:val="left"/>
      <w:pPr>
        <w:tabs>
          <w:tab w:val="num" w:pos="839"/>
        </w:tabs>
        <w:ind w:left="839" w:hanging="360"/>
      </w:pPr>
      <w:rPr>
        <w:rFonts w:hint="eastAsia"/>
      </w:rPr>
    </w:lvl>
    <w:lvl w:ilvl="1" w:tplc="04090019" w:tentative="1">
      <w:start w:val="1"/>
      <w:numFmt w:val="ideographTraditional"/>
      <w:lvlText w:val="%2、"/>
      <w:lvlJc w:val="left"/>
      <w:pPr>
        <w:tabs>
          <w:tab w:val="num" w:pos="1439"/>
        </w:tabs>
        <w:ind w:left="1439" w:hanging="480"/>
      </w:pPr>
    </w:lvl>
    <w:lvl w:ilvl="2" w:tplc="0409001B" w:tentative="1">
      <w:start w:val="1"/>
      <w:numFmt w:val="lowerRoman"/>
      <w:lvlText w:val="%3."/>
      <w:lvlJc w:val="right"/>
      <w:pPr>
        <w:tabs>
          <w:tab w:val="num" w:pos="1919"/>
        </w:tabs>
        <w:ind w:left="1919" w:hanging="480"/>
      </w:pPr>
    </w:lvl>
    <w:lvl w:ilvl="3" w:tplc="0409000F" w:tentative="1">
      <w:start w:val="1"/>
      <w:numFmt w:val="decimal"/>
      <w:lvlText w:val="%4."/>
      <w:lvlJc w:val="left"/>
      <w:pPr>
        <w:tabs>
          <w:tab w:val="num" w:pos="2399"/>
        </w:tabs>
        <w:ind w:left="2399" w:hanging="480"/>
      </w:pPr>
    </w:lvl>
    <w:lvl w:ilvl="4" w:tplc="04090019" w:tentative="1">
      <w:start w:val="1"/>
      <w:numFmt w:val="ideographTraditional"/>
      <w:lvlText w:val="%5、"/>
      <w:lvlJc w:val="left"/>
      <w:pPr>
        <w:tabs>
          <w:tab w:val="num" w:pos="2879"/>
        </w:tabs>
        <w:ind w:left="2879" w:hanging="480"/>
      </w:pPr>
    </w:lvl>
    <w:lvl w:ilvl="5" w:tplc="0409001B" w:tentative="1">
      <w:start w:val="1"/>
      <w:numFmt w:val="lowerRoman"/>
      <w:lvlText w:val="%6."/>
      <w:lvlJc w:val="right"/>
      <w:pPr>
        <w:tabs>
          <w:tab w:val="num" w:pos="3359"/>
        </w:tabs>
        <w:ind w:left="3359" w:hanging="480"/>
      </w:pPr>
    </w:lvl>
    <w:lvl w:ilvl="6" w:tplc="0409000F" w:tentative="1">
      <w:start w:val="1"/>
      <w:numFmt w:val="decimal"/>
      <w:lvlText w:val="%7."/>
      <w:lvlJc w:val="left"/>
      <w:pPr>
        <w:tabs>
          <w:tab w:val="num" w:pos="3839"/>
        </w:tabs>
        <w:ind w:left="3839" w:hanging="480"/>
      </w:pPr>
    </w:lvl>
    <w:lvl w:ilvl="7" w:tplc="04090019" w:tentative="1">
      <w:start w:val="1"/>
      <w:numFmt w:val="ideographTraditional"/>
      <w:lvlText w:val="%8、"/>
      <w:lvlJc w:val="left"/>
      <w:pPr>
        <w:tabs>
          <w:tab w:val="num" w:pos="4319"/>
        </w:tabs>
        <w:ind w:left="4319" w:hanging="480"/>
      </w:pPr>
    </w:lvl>
    <w:lvl w:ilvl="8" w:tplc="0409001B" w:tentative="1">
      <w:start w:val="1"/>
      <w:numFmt w:val="lowerRoman"/>
      <w:lvlText w:val="%9."/>
      <w:lvlJc w:val="right"/>
      <w:pPr>
        <w:tabs>
          <w:tab w:val="num" w:pos="4799"/>
        </w:tabs>
        <w:ind w:left="4799" w:hanging="480"/>
      </w:pPr>
    </w:lvl>
  </w:abstractNum>
  <w:abstractNum w:abstractNumId="6" w15:restartNumberingAfterBreak="0">
    <w:nsid w:val="1E7E0FC9"/>
    <w:multiLevelType w:val="hybridMultilevel"/>
    <w:tmpl w:val="973AF874"/>
    <w:lvl w:ilvl="0" w:tplc="9C2E1712">
      <w:start w:val="1"/>
      <w:numFmt w:val="decimal"/>
      <w:lvlText w:val="(%1)"/>
      <w:lvlJc w:val="left"/>
      <w:pPr>
        <w:tabs>
          <w:tab w:val="num" w:pos="722"/>
        </w:tabs>
        <w:ind w:left="722" w:hanging="360"/>
      </w:pPr>
      <w:rPr>
        <w:rFonts w:hint="eastAsia"/>
      </w:rPr>
    </w:lvl>
    <w:lvl w:ilvl="1" w:tplc="04090019" w:tentative="1">
      <w:start w:val="1"/>
      <w:numFmt w:val="ideographTraditional"/>
      <w:lvlText w:val="%2、"/>
      <w:lvlJc w:val="left"/>
      <w:pPr>
        <w:tabs>
          <w:tab w:val="num" w:pos="1322"/>
        </w:tabs>
        <w:ind w:left="1322" w:hanging="480"/>
      </w:pPr>
    </w:lvl>
    <w:lvl w:ilvl="2" w:tplc="0409001B" w:tentative="1">
      <w:start w:val="1"/>
      <w:numFmt w:val="lowerRoman"/>
      <w:lvlText w:val="%3."/>
      <w:lvlJc w:val="right"/>
      <w:pPr>
        <w:tabs>
          <w:tab w:val="num" w:pos="1802"/>
        </w:tabs>
        <w:ind w:left="1802" w:hanging="480"/>
      </w:pPr>
    </w:lvl>
    <w:lvl w:ilvl="3" w:tplc="0409000F" w:tentative="1">
      <w:start w:val="1"/>
      <w:numFmt w:val="decimal"/>
      <w:lvlText w:val="%4."/>
      <w:lvlJc w:val="left"/>
      <w:pPr>
        <w:tabs>
          <w:tab w:val="num" w:pos="2282"/>
        </w:tabs>
        <w:ind w:left="2282" w:hanging="480"/>
      </w:pPr>
    </w:lvl>
    <w:lvl w:ilvl="4" w:tplc="04090019" w:tentative="1">
      <w:start w:val="1"/>
      <w:numFmt w:val="ideographTraditional"/>
      <w:lvlText w:val="%5、"/>
      <w:lvlJc w:val="left"/>
      <w:pPr>
        <w:tabs>
          <w:tab w:val="num" w:pos="2762"/>
        </w:tabs>
        <w:ind w:left="2762" w:hanging="480"/>
      </w:pPr>
    </w:lvl>
    <w:lvl w:ilvl="5" w:tplc="0409001B" w:tentative="1">
      <w:start w:val="1"/>
      <w:numFmt w:val="lowerRoman"/>
      <w:lvlText w:val="%6."/>
      <w:lvlJc w:val="right"/>
      <w:pPr>
        <w:tabs>
          <w:tab w:val="num" w:pos="3242"/>
        </w:tabs>
        <w:ind w:left="3242" w:hanging="480"/>
      </w:pPr>
    </w:lvl>
    <w:lvl w:ilvl="6" w:tplc="0409000F" w:tentative="1">
      <w:start w:val="1"/>
      <w:numFmt w:val="decimal"/>
      <w:lvlText w:val="%7."/>
      <w:lvlJc w:val="left"/>
      <w:pPr>
        <w:tabs>
          <w:tab w:val="num" w:pos="3722"/>
        </w:tabs>
        <w:ind w:left="3722" w:hanging="480"/>
      </w:pPr>
    </w:lvl>
    <w:lvl w:ilvl="7" w:tplc="04090019" w:tentative="1">
      <w:start w:val="1"/>
      <w:numFmt w:val="ideographTraditional"/>
      <w:lvlText w:val="%8、"/>
      <w:lvlJc w:val="left"/>
      <w:pPr>
        <w:tabs>
          <w:tab w:val="num" w:pos="4202"/>
        </w:tabs>
        <w:ind w:left="4202" w:hanging="480"/>
      </w:pPr>
    </w:lvl>
    <w:lvl w:ilvl="8" w:tplc="0409001B" w:tentative="1">
      <w:start w:val="1"/>
      <w:numFmt w:val="lowerRoman"/>
      <w:lvlText w:val="%9."/>
      <w:lvlJc w:val="right"/>
      <w:pPr>
        <w:tabs>
          <w:tab w:val="num" w:pos="4682"/>
        </w:tabs>
        <w:ind w:left="4682" w:hanging="480"/>
      </w:pPr>
    </w:lvl>
  </w:abstractNum>
  <w:abstractNum w:abstractNumId="7" w15:restartNumberingAfterBreak="0">
    <w:nsid w:val="25433126"/>
    <w:multiLevelType w:val="singleLevel"/>
    <w:tmpl w:val="941EC940"/>
    <w:lvl w:ilvl="0">
      <w:start w:val="1"/>
      <w:numFmt w:val="decimal"/>
      <w:lvlText w:val="%1."/>
      <w:lvlJc w:val="left"/>
      <w:pPr>
        <w:tabs>
          <w:tab w:val="num" w:pos="570"/>
        </w:tabs>
        <w:ind w:left="570" w:hanging="210"/>
      </w:pPr>
      <w:rPr>
        <w:rFonts w:hint="eastAsia"/>
      </w:rPr>
    </w:lvl>
  </w:abstractNum>
  <w:abstractNum w:abstractNumId="8" w15:restartNumberingAfterBreak="0">
    <w:nsid w:val="28EA638F"/>
    <w:multiLevelType w:val="hybridMultilevel"/>
    <w:tmpl w:val="70167452"/>
    <w:lvl w:ilvl="0" w:tplc="AD3097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6D54CD"/>
    <w:multiLevelType w:val="hybridMultilevel"/>
    <w:tmpl w:val="236AED5C"/>
    <w:lvl w:ilvl="0" w:tplc="6E5053EE">
      <w:start w:val="1"/>
      <w:numFmt w:val="decimal"/>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15:restartNumberingAfterBreak="0">
    <w:nsid w:val="2F5C1899"/>
    <w:multiLevelType w:val="hybridMultilevel"/>
    <w:tmpl w:val="59021E34"/>
    <w:lvl w:ilvl="0" w:tplc="8390B59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321B645E"/>
    <w:multiLevelType w:val="singleLevel"/>
    <w:tmpl w:val="7848034E"/>
    <w:lvl w:ilvl="0">
      <w:start w:val="4"/>
      <w:numFmt w:val="taiwaneseCountingThousand"/>
      <w:lvlText w:val="(%1)"/>
      <w:legacy w:legacy="1" w:legacySpace="0" w:legacyIndent="570"/>
      <w:lvlJc w:val="left"/>
      <w:pPr>
        <w:ind w:left="1110" w:hanging="570"/>
      </w:pPr>
      <w:rPr>
        <w:rFonts w:ascii="華康標楷體W3" w:eastAsia="華康標楷體W3" w:hint="eastAsia"/>
        <w:b/>
        <w:i w:val="0"/>
        <w:sz w:val="28"/>
        <w:u w:val="none"/>
      </w:rPr>
    </w:lvl>
  </w:abstractNum>
  <w:abstractNum w:abstractNumId="12" w15:restartNumberingAfterBreak="0">
    <w:nsid w:val="419C2CBE"/>
    <w:multiLevelType w:val="singleLevel"/>
    <w:tmpl w:val="47981E96"/>
    <w:lvl w:ilvl="0">
      <w:start w:val="1"/>
      <w:numFmt w:val="decimal"/>
      <w:lvlText w:val="(%1)"/>
      <w:legacy w:legacy="1" w:legacySpace="0" w:legacyIndent="435"/>
      <w:lvlJc w:val="left"/>
      <w:pPr>
        <w:ind w:left="975" w:hanging="435"/>
      </w:pPr>
      <w:rPr>
        <w:rFonts w:ascii="華康標楷體W3" w:eastAsia="華康標楷體W3" w:hint="eastAsia"/>
        <w:b/>
        <w:i w:val="0"/>
        <w:sz w:val="28"/>
        <w:u w:val="none"/>
      </w:rPr>
    </w:lvl>
  </w:abstractNum>
  <w:abstractNum w:abstractNumId="13" w15:restartNumberingAfterBreak="0">
    <w:nsid w:val="45B03707"/>
    <w:multiLevelType w:val="singleLevel"/>
    <w:tmpl w:val="47981E96"/>
    <w:lvl w:ilvl="0">
      <w:start w:val="1"/>
      <w:numFmt w:val="decimal"/>
      <w:lvlText w:val="(%1)"/>
      <w:legacy w:legacy="1" w:legacySpace="0" w:legacyIndent="435"/>
      <w:lvlJc w:val="left"/>
      <w:pPr>
        <w:ind w:left="975" w:hanging="435"/>
      </w:pPr>
      <w:rPr>
        <w:rFonts w:ascii="華康標楷體W3" w:eastAsia="華康標楷體W3" w:hint="eastAsia"/>
        <w:b/>
        <w:i w:val="0"/>
        <w:sz w:val="28"/>
        <w:u w:val="none"/>
      </w:rPr>
    </w:lvl>
  </w:abstractNum>
  <w:abstractNum w:abstractNumId="14" w15:restartNumberingAfterBreak="0">
    <w:nsid w:val="4EDC0C55"/>
    <w:multiLevelType w:val="singleLevel"/>
    <w:tmpl w:val="8C6C6DE2"/>
    <w:lvl w:ilvl="0">
      <w:start w:val="3"/>
      <w:numFmt w:val="decimal"/>
      <w:lvlText w:val="(%1)"/>
      <w:legacy w:legacy="1" w:legacySpace="0" w:legacyIndent="435"/>
      <w:lvlJc w:val="left"/>
      <w:pPr>
        <w:ind w:left="795" w:hanging="435"/>
      </w:pPr>
      <w:rPr>
        <w:rFonts w:ascii="華康標楷體W3" w:eastAsia="華康標楷體W3" w:hint="eastAsia"/>
        <w:b/>
        <w:i w:val="0"/>
        <w:sz w:val="28"/>
        <w:u w:val="none"/>
      </w:rPr>
    </w:lvl>
  </w:abstractNum>
  <w:abstractNum w:abstractNumId="15" w15:restartNumberingAfterBreak="0">
    <w:nsid w:val="5330140F"/>
    <w:multiLevelType w:val="singleLevel"/>
    <w:tmpl w:val="58EE12EA"/>
    <w:lvl w:ilvl="0">
      <w:start w:val="1"/>
      <w:numFmt w:val="decimal"/>
      <w:lvlText w:val="%1."/>
      <w:lvlJc w:val="left"/>
      <w:pPr>
        <w:tabs>
          <w:tab w:val="num" w:pos="570"/>
        </w:tabs>
        <w:ind w:left="570" w:hanging="210"/>
      </w:pPr>
      <w:rPr>
        <w:rFonts w:hint="eastAsia"/>
      </w:rPr>
    </w:lvl>
  </w:abstractNum>
  <w:abstractNum w:abstractNumId="16" w15:restartNumberingAfterBreak="0">
    <w:nsid w:val="598F13ED"/>
    <w:multiLevelType w:val="singleLevel"/>
    <w:tmpl w:val="389E7EA8"/>
    <w:lvl w:ilvl="0">
      <w:start w:val="6"/>
      <w:numFmt w:val="decimal"/>
      <w:lvlText w:val="%1."/>
      <w:legacy w:legacy="1" w:legacySpace="0" w:legacyIndent="285"/>
      <w:lvlJc w:val="left"/>
      <w:pPr>
        <w:ind w:left="285" w:hanging="285"/>
      </w:pPr>
      <w:rPr>
        <w:rFonts w:ascii="華康標楷體W3" w:eastAsia="華康標楷體W3" w:hint="eastAsia"/>
        <w:b/>
        <w:i w:val="0"/>
        <w:sz w:val="28"/>
        <w:u w:val="none"/>
      </w:rPr>
    </w:lvl>
  </w:abstractNum>
  <w:abstractNum w:abstractNumId="17" w15:restartNumberingAfterBreak="0">
    <w:nsid w:val="6D095368"/>
    <w:multiLevelType w:val="singleLevel"/>
    <w:tmpl w:val="E8A8033A"/>
    <w:lvl w:ilvl="0">
      <w:start w:val="1"/>
      <w:numFmt w:val="decimal"/>
      <w:lvlText w:val="%1."/>
      <w:lvlJc w:val="left"/>
      <w:pPr>
        <w:tabs>
          <w:tab w:val="num" w:pos="570"/>
        </w:tabs>
        <w:ind w:left="570" w:hanging="210"/>
      </w:pPr>
      <w:rPr>
        <w:rFonts w:hint="eastAsia"/>
      </w:rPr>
    </w:lvl>
  </w:abstractNum>
  <w:abstractNum w:abstractNumId="18" w15:restartNumberingAfterBreak="0">
    <w:nsid w:val="7FEF43BA"/>
    <w:multiLevelType w:val="singleLevel"/>
    <w:tmpl w:val="0B145F60"/>
    <w:lvl w:ilvl="0">
      <w:start w:val="14"/>
      <w:numFmt w:val="decimal"/>
      <w:lvlText w:val="(%1)"/>
      <w:legacy w:legacy="1" w:legacySpace="0" w:legacyIndent="570"/>
      <w:lvlJc w:val="left"/>
      <w:pPr>
        <w:ind w:left="930" w:hanging="570"/>
      </w:pPr>
      <w:rPr>
        <w:rFonts w:ascii="華康標楷體W3" w:eastAsia="華康標楷體W3" w:hint="eastAsia"/>
        <w:b/>
        <w:i w:val="0"/>
        <w:sz w:val="28"/>
        <w:u w:val="none"/>
      </w:rPr>
    </w:lvl>
  </w:abstractNum>
  <w:num w:numId="1" w16cid:durableId="219024574">
    <w:abstractNumId w:val="12"/>
  </w:num>
  <w:num w:numId="2" w16cid:durableId="1949582437">
    <w:abstractNumId w:val="12"/>
    <w:lvlOverride w:ilvl="0">
      <w:lvl w:ilvl="0">
        <w:start w:val="2"/>
        <w:numFmt w:val="decimal"/>
        <w:lvlText w:val="(%1)"/>
        <w:legacy w:legacy="1" w:legacySpace="0" w:legacyIndent="435"/>
        <w:lvlJc w:val="left"/>
        <w:pPr>
          <w:ind w:left="975" w:hanging="435"/>
        </w:pPr>
        <w:rPr>
          <w:rFonts w:ascii="華康標楷體W3" w:eastAsia="華康標楷體W3" w:hint="eastAsia"/>
          <w:b/>
          <w:i w:val="0"/>
          <w:sz w:val="28"/>
          <w:u w:val="none"/>
        </w:rPr>
      </w:lvl>
    </w:lvlOverride>
  </w:num>
  <w:num w:numId="3" w16cid:durableId="311637188">
    <w:abstractNumId w:val="16"/>
  </w:num>
  <w:num w:numId="4" w16cid:durableId="237129665">
    <w:abstractNumId w:val="13"/>
  </w:num>
  <w:num w:numId="5" w16cid:durableId="1974796903">
    <w:abstractNumId w:val="14"/>
  </w:num>
  <w:num w:numId="6" w16cid:durableId="1528367126">
    <w:abstractNumId w:val="14"/>
    <w:lvlOverride w:ilvl="0">
      <w:lvl w:ilvl="0">
        <w:start w:val="4"/>
        <w:numFmt w:val="decimal"/>
        <w:lvlText w:val="(%1)"/>
        <w:legacy w:legacy="1" w:legacySpace="0" w:legacyIndent="435"/>
        <w:lvlJc w:val="left"/>
        <w:pPr>
          <w:ind w:left="795" w:hanging="435"/>
        </w:pPr>
        <w:rPr>
          <w:rFonts w:ascii="華康標楷體W3" w:eastAsia="華康標楷體W3" w:hint="eastAsia"/>
          <w:b/>
          <w:i w:val="0"/>
          <w:sz w:val="28"/>
          <w:u w:val="none"/>
        </w:rPr>
      </w:lvl>
    </w:lvlOverride>
  </w:num>
  <w:num w:numId="7" w16cid:durableId="1666711666">
    <w:abstractNumId w:val="14"/>
    <w:lvlOverride w:ilvl="0">
      <w:lvl w:ilvl="0">
        <w:start w:val="1"/>
        <w:numFmt w:val="decimal"/>
        <w:lvlText w:val="(%1)"/>
        <w:legacy w:legacy="1" w:legacySpace="0" w:legacyIndent="435"/>
        <w:lvlJc w:val="left"/>
        <w:pPr>
          <w:ind w:left="795" w:hanging="435"/>
        </w:pPr>
        <w:rPr>
          <w:rFonts w:ascii="華康標楷體W3" w:eastAsia="華康標楷體W3" w:hint="eastAsia"/>
          <w:b/>
          <w:i w:val="0"/>
          <w:sz w:val="28"/>
          <w:u w:val="none"/>
        </w:rPr>
      </w:lvl>
    </w:lvlOverride>
  </w:num>
  <w:num w:numId="8" w16cid:durableId="929967013">
    <w:abstractNumId w:val="18"/>
  </w:num>
  <w:num w:numId="9" w16cid:durableId="528881627">
    <w:abstractNumId w:val="11"/>
  </w:num>
  <w:num w:numId="10" w16cid:durableId="1330594494">
    <w:abstractNumId w:val="0"/>
  </w:num>
  <w:num w:numId="11" w16cid:durableId="768087971">
    <w:abstractNumId w:val="0"/>
    <w:lvlOverride w:ilvl="0">
      <w:lvl w:ilvl="0">
        <w:start w:val="1"/>
        <w:numFmt w:val="decimal"/>
        <w:lvlText w:val="%1."/>
        <w:legacy w:legacy="1" w:legacySpace="0" w:legacyIndent="300"/>
        <w:lvlJc w:val="left"/>
        <w:pPr>
          <w:ind w:left="1020" w:hanging="300"/>
        </w:pPr>
        <w:rPr>
          <w:rFonts w:ascii="華康標楷體W3" w:eastAsia="華康標楷體W3" w:hint="eastAsia"/>
          <w:b/>
          <w:i w:val="0"/>
          <w:sz w:val="28"/>
          <w:u w:val="none"/>
        </w:rPr>
      </w:lvl>
    </w:lvlOverride>
  </w:num>
  <w:num w:numId="12" w16cid:durableId="179055335">
    <w:abstractNumId w:val="15"/>
  </w:num>
  <w:num w:numId="13" w16cid:durableId="559678755">
    <w:abstractNumId w:val="17"/>
  </w:num>
  <w:num w:numId="14" w16cid:durableId="1152647513">
    <w:abstractNumId w:val="7"/>
  </w:num>
  <w:num w:numId="15" w16cid:durableId="1922257374">
    <w:abstractNumId w:val="4"/>
  </w:num>
  <w:num w:numId="16" w16cid:durableId="35930492">
    <w:abstractNumId w:val="10"/>
  </w:num>
  <w:num w:numId="17" w16cid:durableId="1737438989">
    <w:abstractNumId w:val="9"/>
  </w:num>
  <w:num w:numId="18" w16cid:durableId="979699261">
    <w:abstractNumId w:val="5"/>
  </w:num>
  <w:num w:numId="19" w16cid:durableId="1972204054">
    <w:abstractNumId w:val="6"/>
  </w:num>
  <w:num w:numId="20" w16cid:durableId="88543746">
    <w:abstractNumId w:val="2"/>
  </w:num>
  <w:num w:numId="21" w16cid:durableId="2073844091">
    <w:abstractNumId w:val="3"/>
  </w:num>
  <w:num w:numId="22" w16cid:durableId="120152863">
    <w:abstractNumId w:val="8"/>
  </w:num>
  <w:num w:numId="23" w16cid:durableId="202166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B2"/>
    <w:rsid w:val="00094756"/>
    <w:rsid w:val="002177CA"/>
    <w:rsid w:val="002E7EBA"/>
    <w:rsid w:val="00342539"/>
    <w:rsid w:val="004928F9"/>
    <w:rsid w:val="004C378C"/>
    <w:rsid w:val="0056143E"/>
    <w:rsid w:val="00585C27"/>
    <w:rsid w:val="005D2739"/>
    <w:rsid w:val="005D5038"/>
    <w:rsid w:val="00615460"/>
    <w:rsid w:val="006E25B2"/>
    <w:rsid w:val="007335AA"/>
    <w:rsid w:val="007B0710"/>
    <w:rsid w:val="008355C5"/>
    <w:rsid w:val="00A95618"/>
    <w:rsid w:val="00AE207E"/>
    <w:rsid w:val="00BD5589"/>
    <w:rsid w:val="00BE129D"/>
    <w:rsid w:val="00D1367B"/>
    <w:rsid w:val="00D57F6C"/>
    <w:rsid w:val="00E32497"/>
    <w:rsid w:val="00E32EF5"/>
    <w:rsid w:val="00E70ED7"/>
    <w:rsid w:val="00F1498B"/>
    <w:rsid w:val="00F17A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FC171"/>
  <w15:chartTrackingRefBased/>
  <w15:docId w15:val="{E1F0828A-036B-4B96-9D92-2445F9AA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Body Text Indent"/>
    <w:basedOn w:val="a"/>
    <w:pPr>
      <w:ind w:left="360" w:firstLine="360"/>
    </w:pPr>
    <w:rPr>
      <w:rFonts w:ascii="華康標楷體W4(P)" w:eastAsia="華康標楷體W4(P)"/>
      <w:b/>
      <w:sz w:val="26"/>
    </w:rPr>
  </w:style>
  <w:style w:type="paragraph" w:customStyle="1" w:styleId="a11">
    <w:name w:val="a11"/>
    <w:basedOn w:val="a"/>
    <w:pPr>
      <w:ind w:left="1080" w:hanging="540"/>
    </w:pPr>
    <w:rPr>
      <w:rFonts w:ascii="華康標楷體W3" w:eastAsia="華康標楷體W3"/>
      <w:b/>
      <w:sz w:val="28"/>
    </w:rPr>
  </w:style>
  <w:style w:type="paragraph" w:styleId="2">
    <w:name w:val="Body Text Indent 2"/>
    <w:basedOn w:val="a"/>
    <w:pPr>
      <w:ind w:left="360"/>
    </w:pPr>
    <w:rPr>
      <w:rFonts w:ascii="華康標楷體W3" w:eastAsia="華康標楷體W3"/>
      <w:b/>
      <w:sz w:val="2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1308</Characters>
  <Application>Microsoft Office Word</Application>
  <DocSecurity>0</DocSecurity>
  <Lines>10</Lines>
  <Paragraphs>3</Paragraphs>
  <ScaleCrop>false</ScaleCrop>
  <Manager>行政院金融監督管理委員會銀行局</Manager>
  <Company>367010000D</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金融業務統計輯要</dc:title>
  <dc:subject>名詞解釋</dc:subject>
  <dc:creator>行政院金融監督管理委員會銀行局</dc:creator>
  <cp:keywords>金融統計</cp:keywords>
  <cp:lastModifiedBy>李珮珊</cp:lastModifiedBy>
  <cp:revision>2</cp:revision>
  <cp:lastPrinted>2010-07-12T06:24:00Z</cp:lastPrinted>
  <dcterms:created xsi:type="dcterms:W3CDTF">2023-02-10T09:12:00Z</dcterms:created>
  <dcterms:modified xsi:type="dcterms:W3CDTF">2023-02-10T09:12:00Z</dcterms:modified>
  <cp:category>I52</cp:category>
</cp:coreProperties>
</file>