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1" w:rsidRDefault="00D227F1">
      <w:pPr>
        <w:widowControl/>
        <w:rPr>
          <w:rFonts w:eastAsia="標楷體" w:hAnsi="標楷體"/>
          <w:b/>
          <w:bCs/>
          <w:caps/>
          <w:noProof/>
          <w:kern w:val="0"/>
          <w:sz w:val="32"/>
          <w:szCs w:val="32"/>
        </w:rPr>
      </w:pPr>
    </w:p>
    <w:p w:rsidR="00027B9A" w:rsidRPr="008E7939" w:rsidRDefault="00027B9A" w:rsidP="00225CCA">
      <w:pPr>
        <w:pStyle w:val="11"/>
      </w:pPr>
    </w:p>
    <w:p w:rsidR="00027B9A" w:rsidRPr="008E7939" w:rsidRDefault="00027B9A" w:rsidP="00225CCA">
      <w:pPr>
        <w:pStyle w:val="11"/>
      </w:pPr>
    </w:p>
    <w:p w:rsidR="00027B9A" w:rsidRPr="008E7939" w:rsidRDefault="00027B9A" w:rsidP="00225CCA">
      <w:pPr>
        <w:pStyle w:val="11"/>
      </w:pPr>
    </w:p>
    <w:p w:rsidR="00027B9A" w:rsidRPr="008E7939" w:rsidRDefault="00027B9A" w:rsidP="00225CCA">
      <w:pPr>
        <w:pStyle w:val="11"/>
      </w:pPr>
    </w:p>
    <w:p w:rsidR="00027B9A" w:rsidRPr="008E7939" w:rsidRDefault="00027B9A" w:rsidP="00225CCA">
      <w:pPr>
        <w:pStyle w:val="11"/>
      </w:pPr>
    </w:p>
    <w:p w:rsidR="00027B9A" w:rsidRPr="008E7939" w:rsidRDefault="00563E6F" w:rsidP="00D545B7">
      <w:pPr>
        <w:jc w:val="center"/>
        <w:rPr>
          <w:rFonts w:eastAsia="標楷體"/>
          <w:b/>
          <w:sz w:val="52"/>
          <w:szCs w:val="52"/>
        </w:rPr>
      </w:pPr>
      <w:r w:rsidRPr="008E7939">
        <w:rPr>
          <w:rFonts w:eastAsia="標楷體" w:hint="eastAsia"/>
          <w:b/>
          <w:sz w:val="52"/>
          <w:szCs w:val="52"/>
        </w:rPr>
        <w:t>第六</w:t>
      </w:r>
      <w:r w:rsidR="00027B9A" w:rsidRPr="008E7939">
        <w:rPr>
          <w:rFonts w:eastAsia="標楷體" w:hint="eastAsia"/>
          <w:b/>
          <w:sz w:val="52"/>
          <w:szCs w:val="52"/>
        </w:rPr>
        <w:t>部分</w:t>
      </w:r>
    </w:p>
    <w:p w:rsidR="00443C8F" w:rsidRPr="008E7939" w:rsidRDefault="00FD2021" w:rsidP="00D545B7">
      <w:pPr>
        <w:jc w:val="center"/>
        <w:rPr>
          <w:rFonts w:eastAsia="標楷體" w:hint="eastAsia"/>
          <w:b/>
          <w:sz w:val="52"/>
          <w:szCs w:val="52"/>
        </w:rPr>
      </w:pPr>
      <w:r w:rsidRPr="008E7939">
        <w:rPr>
          <w:rFonts w:eastAsia="標楷體" w:hint="eastAsia"/>
          <w:b/>
          <w:sz w:val="52"/>
          <w:szCs w:val="52"/>
        </w:rPr>
        <w:t>槓桿比率之計算</w:t>
      </w:r>
    </w:p>
    <w:p w:rsidR="008E7939" w:rsidRPr="008E7939" w:rsidRDefault="008E7939" w:rsidP="00D545B7">
      <w:pPr>
        <w:jc w:val="center"/>
        <w:rPr>
          <w:rFonts w:eastAsia="標楷體" w:hint="eastAsia"/>
          <w:b/>
          <w:sz w:val="52"/>
          <w:szCs w:val="52"/>
        </w:rPr>
      </w:pPr>
      <w:r w:rsidRPr="008E7939">
        <w:rPr>
          <w:rFonts w:eastAsia="標楷體" w:hint="eastAsia"/>
          <w:b/>
          <w:sz w:val="52"/>
          <w:szCs w:val="52"/>
        </w:rPr>
        <w:t>(</w:t>
      </w:r>
      <w:r w:rsidRPr="008E7939">
        <w:rPr>
          <w:rFonts w:eastAsia="標楷體" w:hint="eastAsia"/>
          <w:b/>
          <w:sz w:val="52"/>
          <w:szCs w:val="52"/>
        </w:rPr>
        <w:t>修正對照</w:t>
      </w:r>
      <w:r w:rsidRPr="008E7939">
        <w:rPr>
          <w:rFonts w:eastAsia="標楷體" w:hint="eastAsia"/>
          <w:b/>
          <w:sz w:val="52"/>
          <w:szCs w:val="52"/>
        </w:rPr>
        <w:t>)</w:t>
      </w:r>
    </w:p>
    <w:p w:rsidR="008E7939" w:rsidRPr="008E7939" w:rsidRDefault="008E7939" w:rsidP="00D545B7">
      <w:pPr>
        <w:jc w:val="center"/>
        <w:rPr>
          <w:rFonts w:eastAsia="標楷體"/>
          <w:b/>
          <w:sz w:val="52"/>
          <w:szCs w:val="52"/>
        </w:rPr>
      </w:pPr>
    </w:p>
    <w:p w:rsidR="00027B9A" w:rsidRPr="008E7939" w:rsidRDefault="00027B9A" w:rsidP="00057A39">
      <w:pPr>
        <w:rPr>
          <w:rFonts w:eastAsia="標楷體"/>
          <w:b/>
          <w:sz w:val="52"/>
          <w:szCs w:val="52"/>
        </w:rPr>
        <w:sectPr w:rsidR="00027B9A" w:rsidRPr="008E7939" w:rsidSect="00AD15ED">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60"/>
        </w:sectPr>
      </w:pPr>
    </w:p>
    <w:p w:rsidR="00027B9A" w:rsidRPr="008E7939" w:rsidRDefault="00A2216C" w:rsidP="00225CCA">
      <w:pPr>
        <w:pStyle w:val="11"/>
      </w:pPr>
      <w:bookmarkStart w:id="0" w:name="_Toc106176213"/>
      <w:r w:rsidRPr="008E7939">
        <w:rPr>
          <w:rFonts w:hint="eastAsia"/>
        </w:rPr>
        <w:lastRenderedPageBreak/>
        <w:t>壹</w:t>
      </w:r>
      <w:r w:rsidR="00027B9A" w:rsidRPr="008E7939">
        <w:t>、</w:t>
      </w:r>
      <w:bookmarkStart w:id="1" w:name="_Toc92526987"/>
      <w:bookmarkStart w:id="2" w:name="_Toc106176214"/>
      <w:bookmarkEnd w:id="0"/>
      <w:r w:rsidRPr="008E7939">
        <w:rPr>
          <w:rFonts w:hint="eastAsia"/>
        </w:rPr>
        <w:t>槓桿比率之計算</w:t>
      </w:r>
    </w:p>
    <w:bookmarkEnd w:id="1"/>
    <w:bookmarkEnd w:id="2"/>
    <w:p w:rsidR="00E85640" w:rsidRPr="008E7939" w:rsidRDefault="00FD2021" w:rsidP="001F05F0">
      <w:pPr>
        <w:ind w:leftChars="150" w:left="360" w:firstLineChars="200" w:firstLine="480"/>
        <w:jc w:val="both"/>
        <w:rPr>
          <w:rFonts w:eastAsia="標楷體"/>
        </w:rPr>
      </w:pPr>
      <w:r w:rsidRPr="008E7939">
        <w:rPr>
          <w:rFonts w:eastAsia="標楷體" w:hint="eastAsia"/>
        </w:rPr>
        <w:t>槓</w:t>
      </w:r>
      <w:r w:rsidR="00905029" w:rsidRPr="008E7939">
        <w:rPr>
          <w:rFonts w:eastAsia="標楷體" w:hint="eastAsia"/>
        </w:rPr>
        <w:t>桿</w:t>
      </w:r>
      <w:r w:rsidR="00023907" w:rsidRPr="008E7939">
        <w:rPr>
          <w:rFonts w:eastAsia="標楷體" w:hint="eastAsia"/>
        </w:rPr>
        <w:t>比率（</w:t>
      </w:r>
      <w:r w:rsidR="00023907" w:rsidRPr="008E7939">
        <w:rPr>
          <w:rFonts w:eastAsia="標楷體" w:hint="eastAsia"/>
        </w:rPr>
        <w:t>leverage ratio</w:t>
      </w:r>
      <w:r w:rsidR="00023907" w:rsidRPr="008E7939">
        <w:rPr>
          <w:rFonts w:eastAsia="標楷體" w:hint="eastAsia"/>
        </w:rPr>
        <w:t>，</w:t>
      </w:r>
      <w:r w:rsidR="00023907" w:rsidRPr="008E7939">
        <w:rPr>
          <w:rFonts w:eastAsia="標楷體" w:hint="eastAsia"/>
        </w:rPr>
        <w:t>LR</w:t>
      </w:r>
      <w:r w:rsidR="00023907" w:rsidRPr="008E7939">
        <w:rPr>
          <w:rFonts w:eastAsia="標楷體" w:hint="eastAsia"/>
        </w:rPr>
        <w:t>）係</w:t>
      </w:r>
      <w:proofErr w:type="gramStart"/>
      <w:r w:rsidR="00023907" w:rsidRPr="008E7939">
        <w:rPr>
          <w:rFonts w:eastAsia="標楷體" w:hint="eastAsia"/>
        </w:rPr>
        <w:t>一</w:t>
      </w:r>
      <w:proofErr w:type="gramEnd"/>
      <w:r w:rsidR="00023907" w:rsidRPr="008E7939">
        <w:rPr>
          <w:rFonts w:eastAsia="標楷體" w:hint="eastAsia"/>
        </w:rPr>
        <w:t>簡單、透明且</w:t>
      </w:r>
      <w:r w:rsidR="00023907" w:rsidRPr="008E7939">
        <w:rPr>
          <w:rFonts w:eastAsia="標楷體" w:hint="eastAsia"/>
          <w:strike/>
        </w:rPr>
        <w:t>未考量</w:t>
      </w:r>
      <w:r w:rsidR="00023907" w:rsidRPr="008E7939">
        <w:rPr>
          <w:rFonts w:eastAsia="標楷體" w:hint="eastAsia"/>
          <w:u w:val="single"/>
        </w:rPr>
        <w:t>非</w:t>
      </w:r>
      <w:r w:rsidR="00023907" w:rsidRPr="008E7939">
        <w:rPr>
          <w:rFonts w:eastAsia="標楷體" w:hint="eastAsia"/>
        </w:rPr>
        <w:t>以風險為衡量基礎之比率，其計算目的係用來補充以風險衡量為基礎之最低資本要求（即資本適足率）。</w:t>
      </w:r>
    </w:p>
    <w:p w:rsidR="00FD2021" w:rsidRPr="008E7939" w:rsidRDefault="00905029" w:rsidP="00225CCA">
      <w:pPr>
        <w:pStyle w:val="11"/>
      </w:pPr>
      <w:r w:rsidRPr="008E7939">
        <w:rPr>
          <w:rFonts w:hint="eastAsia"/>
        </w:rPr>
        <w:t>一、</w:t>
      </w:r>
      <w:r w:rsidR="00FD2021" w:rsidRPr="008E7939">
        <w:rPr>
          <w:rFonts w:hint="eastAsia"/>
        </w:rPr>
        <w:t>計算</w:t>
      </w:r>
      <w:r w:rsidRPr="008E7939">
        <w:rPr>
          <w:rFonts w:hint="eastAsia"/>
        </w:rPr>
        <w:t>方式</w:t>
      </w:r>
    </w:p>
    <w:p w:rsidR="00905029" w:rsidRPr="008E7939" w:rsidRDefault="00905029" w:rsidP="001F05F0">
      <w:pPr>
        <w:ind w:leftChars="150" w:left="360" w:firstLineChars="200" w:firstLine="480"/>
        <w:jc w:val="both"/>
        <w:rPr>
          <w:rFonts w:eastAsia="標楷體"/>
        </w:rPr>
      </w:pPr>
      <w:r w:rsidRPr="008E7939">
        <w:rPr>
          <w:rFonts w:eastAsia="標楷體" w:hint="eastAsia"/>
        </w:rPr>
        <w:t>銀行應</w:t>
      </w:r>
      <w:r w:rsidR="00422A9E" w:rsidRPr="008E7939">
        <w:rPr>
          <w:rFonts w:eastAsia="標楷體" w:hint="eastAsia"/>
        </w:rPr>
        <w:t>按</w:t>
      </w:r>
      <w:r w:rsidRPr="008E7939">
        <w:rPr>
          <w:rFonts w:eastAsia="標楷體" w:hint="eastAsia"/>
        </w:rPr>
        <w:t>季計</w:t>
      </w:r>
      <w:r w:rsidR="00422A9E" w:rsidRPr="008E7939">
        <w:rPr>
          <w:rFonts w:eastAsia="標楷體" w:hint="eastAsia"/>
        </w:rPr>
        <w:t>算槓桿比率，槓桿比率</w:t>
      </w:r>
      <w:r w:rsidR="00A2216C" w:rsidRPr="008E7939">
        <w:rPr>
          <w:rFonts w:eastAsia="標楷體" w:hint="eastAsia"/>
        </w:rPr>
        <w:t>於平行試算期間</w:t>
      </w:r>
      <w:r w:rsidR="00922EA5" w:rsidRPr="008E7939">
        <w:rPr>
          <w:rFonts w:eastAsia="標楷體" w:hint="eastAsia"/>
        </w:rPr>
        <w:t>之</w:t>
      </w:r>
      <w:r w:rsidR="00922EA5" w:rsidRPr="008E7939">
        <w:rPr>
          <w:rFonts w:eastAsia="標楷體" w:hint="eastAsia"/>
          <w:strike/>
        </w:rPr>
        <w:t>衡量基礎</w:t>
      </w:r>
      <w:r w:rsidR="003430CD" w:rsidRPr="008E7939">
        <w:rPr>
          <w:rFonts w:eastAsia="標楷體" w:hint="eastAsia"/>
          <w:u w:val="single"/>
        </w:rPr>
        <w:t>最低要求</w:t>
      </w:r>
      <w:r w:rsidR="00922EA5" w:rsidRPr="008E7939">
        <w:rPr>
          <w:rFonts w:eastAsia="標楷體" w:hint="eastAsia"/>
        </w:rPr>
        <w:t>為</w:t>
      </w:r>
      <w:r w:rsidR="00A2216C" w:rsidRPr="008E7939">
        <w:rPr>
          <w:rFonts w:eastAsia="標楷體" w:hint="eastAsia"/>
        </w:rPr>
        <w:t>3%</w:t>
      </w:r>
      <w:r w:rsidR="00A2216C" w:rsidRPr="008E7939">
        <w:rPr>
          <w:rFonts w:eastAsia="標楷體" w:hint="eastAsia"/>
        </w:rPr>
        <w:t>，</w:t>
      </w:r>
      <w:r w:rsidR="00AE3C16" w:rsidRPr="008E7939">
        <w:rPr>
          <w:rFonts w:eastAsia="標楷體" w:hint="eastAsia"/>
        </w:rPr>
        <w:t>槓桿比率</w:t>
      </w:r>
      <w:r w:rsidR="00DF596B" w:rsidRPr="008E7939">
        <w:rPr>
          <w:rFonts w:eastAsia="標楷體" w:hint="eastAsia"/>
        </w:rPr>
        <w:t>之分子</w:t>
      </w:r>
      <w:r w:rsidR="00645550" w:rsidRPr="008E7939">
        <w:rPr>
          <w:rFonts w:eastAsia="標楷體" w:hint="eastAsia"/>
          <w:strike/>
        </w:rPr>
        <w:t>等於</w:t>
      </w:r>
      <w:r w:rsidR="003430CD" w:rsidRPr="008E7939">
        <w:rPr>
          <w:rFonts w:eastAsia="標楷體" w:hint="eastAsia"/>
          <w:u w:val="single"/>
        </w:rPr>
        <w:t>為</w:t>
      </w:r>
      <w:r w:rsidR="00AE3C16" w:rsidRPr="008E7939">
        <w:rPr>
          <w:rFonts w:eastAsia="標楷體" w:hint="eastAsia"/>
        </w:rPr>
        <w:t>第一類資本淨額（</w:t>
      </w:r>
      <w:r w:rsidR="00AE3C16" w:rsidRPr="008E7939">
        <w:rPr>
          <w:rFonts w:eastAsia="標楷體" w:hint="eastAsia"/>
        </w:rPr>
        <w:t>capital measure</w:t>
      </w:r>
      <w:r w:rsidR="00AE3C16" w:rsidRPr="008E7939">
        <w:rPr>
          <w:rFonts w:eastAsia="標楷體" w:hint="eastAsia"/>
        </w:rPr>
        <w:t>）</w:t>
      </w:r>
      <w:r w:rsidR="00DF596B" w:rsidRPr="008E7939">
        <w:rPr>
          <w:rFonts w:eastAsia="標楷體" w:hint="eastAsia"/>
          <w:strike/>
        </w:rPr>
        <w:t>之最近</w:t>
      </w:r>
      <w:r w:rsidR="00DF596B" w:rsidRPr="008E7939">
        <w:rPr>
          <w:rFonts w:eastAsia="標楷體" w:hint="eastAsia"/>
          <w:strike/>
        </w:rPr>
        <w:t>3</w:t>
      </w:r>
      <w:r w:rsidR="00DF596B" w:rsidRPr="008E7939">
        <w:rPr>
          <w:rFonts w:eastAsia="標楷體" w:hint="eastAsia"/>
          <w:strike/>
        </w:rPr>
        <w:t>個月平均值</w:t>
      </w:r>
      <w:r w:rsidR="00DF596B" w:rsidRPr="008E7939">
        <w:rPr>
          <w:rFonts w:eastAsia="標楷體" w:hint="eastAsia"/>
        </w:rPr>
        <w:t>，分母</w:t>
      </w:r>
      <w:proofErr w:type="gramStart"/>
      <w:r w:rsidR="00DF596B" w:rsidRPr="008E7939">
        <w:rPr>
          <w:rFonts w:eastAsia="標楷體" w:hint="eastAsia"/>
        </w:rPr>
        <w:t>為</w:t>
      </w:r>
      <w:r w:rsidR="00AE3C16" w:rsidRPr="008E7939">
        <w:rPr>
          <w:rFonts w:eastAsia="標楷體" w:hint="eastAsia"/>
        </w:rPr>
        <w:t>暴險總額</w:t>
      </w:r>
      <w:proofErr w:type="gramEnd"/>
      <w:r w:rsidR="00AE3C16" w:rsidRPr="008E7939">
        <w:rPr>
          <w:rFonts w:eastAsia="標楷體" w:hint="eastAsia"/>
        </w:rPr>
        <w:t>（</w:t>
      </w:r>
      <w:r w:rsidR="00AE3C16" w:rsidRPr="008E7939">
        <w:rPr>
          <w:rFonts w:eastAsia="標楷體" w:hint="eastAsia"/>
        </w:rPr>
        <w:t>exposure measure</w:t>
      </w:r>
      <w:r w:rsidR="00AE3C16" w:rsidRPr="008E7939">
        <w:rPr>
          <w:rFonts w:eastAsia="標楷體" w:hint="eastAsia"/>
        </w:rPr>
        <w:t>）</w:t>
      </w:r>
      <w:r w:rsidR="00DF596B" w:rsidRPr="008E7939">
        <w:rPr>
          <w:rFonts w:eastAsia="標楷體" w:hint="eastAsia"/>
          <w:strike/>
        </w:rPr>
        <w:t>之最近</w:t>
      </w:r>
      <w:r w:rsidR="00DF596B" w:rsidRPr="008E7939">
        <w:rPr>
          <w:rFonts w:eastAsia="標楷體" w:hint="eastAsia"/>
          <w:strike/>
        </w:rPr>
        <w:t>3</w:t>
      </w:r>
      <w:r w:rsidR="00DF596B" w:rsidRPr="008E7939">
        <w:rPr>
          <w:rFonts w:eastAsia="標楷體" w:hint="eastAsia"/>
          <w:strike/>
        </w:rPr>
        <w:t>個月平均值</w:t>
      </w:r>
      <w:r w:rsidR="00AE3C16" w:rsidRPr="008E7939">
        <w:rPr>
          <w:rFonts w:eastAsia="標楷體" w:hint="eastAsia"/>
        </w:rPr>
        <w:t>，</w:t>
      </w:r>
      <w:r w:rsidR="00A2216C" w:rsidRPr="008E7939">
        <w:rPr>
          <w:rFonts w:eastAsia="標楷體" w:hint="eastAsia"/>
        </w:rPr>
        <w:t>計算公式如下：</w:t>
      </w:r>
    </w:p>
    <w:p w:rsidR="001428EF" w:rsidRPr="008E7939" w:rsidRDefault="001428EF" w:rsidP="001428EF">
      <m:oMathPara>
        <m:oMath>
          <m:r>
            <m:rPr>
              <m:sty m:val="p"/>
            </m:rPr>
            <w:rPr>
              <w:rFonts w:ascii="Cambria Math" w:eastAsia="標楷體" w:hAnsi="Cambria Math" w:hint="eastAsia"/>
            </w:rPr>
            <m:t>槓桿比率</m:t>
          </m:r>
          <m:r>
            <m:rPr>
              <m:sty m:val="p"/>
            </m:rPr>
            <w:rPr>
              <w:rFonts w:ascii="Cambria Math" w:eastAsia="標楷體" w:hAnsi="Cambria Math" w:hint="eastAsia"/>
            </w:rPr>
            <m:t>(LR)</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第一類資本淨額</m:t>
              </m:r>
            </m:num>
            <m:den>
              <m:r>
                <m:rPr>
                  <m:sty m:val="p"/>
                </m:rPr>
                <w:rPr>
                  <w:rFonts w:ascii="Cambria Math" w:eastAsia="標楷體" w:hAnsi="Cambria Math" w:hint="eastAsia"/>
                </w:rPr>
                <m:t>暴險總額</m:t>
              </m:r>
            </m:den>
          </m:f>
        </m:oMath>
      </m:oMathPara>
    </w:p>
    <w:p w:rsidR="00AE3C16" w:rsidRPr="008E7939" w:rsidRDefault="00AE3C16" w:rsidP="00AE3C16">
      <w:pPr>
        <w:spacing w:line="440" w:lineRule="exact"/>
        <w:ind w:firstLineChars="500" w:firstLine="1200"/>
        <w:jc w:val="both"/>
        <w:rPr>
          <w:rFonts w:eastAsia="標楷體"/>
          <w:strike/>
        </w:rPr>
      </w:pPr>
      <w:r w:rsidRPr="008E7939">
        <w:rPr>
          <w:rFonts w:eastAsia="標楷體" w:hint="eastAsia"/>
          <w:strike/>
        </w:rPr>
        <w:t>LR</w:t>
      </w:r>
      <w:r w:rsidRPr="008E7939">
        <w:rPr>
          <w:rFonts w:eastAsia="標楷體" w:hint="eastAsia"/>
          <w:strike/>
        </w:rPr>
        <w:t>：槓桿比率</w:t>
      </w:r>
    </w:p>
    <w:p w:rsidR="00AE3C16" w:rsidRPr="008E7939" w:rsidRDefault="00AE3C16" w:rsidP="00AE3C16">
      <w:pPr>
        <w:spacing w:line="440" w:lineRule="exact"/>
        <w:ind w:firstLineChars="500" w:firstLine="1200"/>
        <w:jc w:val="both"/>
        <w:rPr>
          <w:rFonts w:eastAsia="標楷體"/>
          <w:strike/>
        </w:rPr>
      </w:pPr>
      <w:r w:rsidRPr="008E7939">
        <w:rPr>
          <w:rFonts w:eastAsia="標楷體" w:hint="eastAsia"/>
          <w:strike/>
        </w:rPr>
        <w:t>CM</w:t>
      </w:r>
      <w:r w:rsidRPr="008E7939">
        <w:rPr>
          <w:rFonts w:eastAsia="標楷體" w:hint="eastAsia"/>
          <w:strike/>
        </w:rPr>
        <w:t>：</w:t>
      </w:r>
      <w:r w:rsidR="00DF596B" w:rsidRPr="008E7939">
        <w:rPr>
          <w:rFonts w:eastAsia="標楷體" w:hint="eastAsia"/>
          <w:strike/>
        </w:rPr>
        <w:t>最近第</w:t>
      </w:r>
      <w:proofErr w:type="spellStart"/>
      <w:r w:rsidR="00DF596B" w:rsidRPr="008E7939">
        <w:rPr>
          <w:rFonts w:eastAsia="標楷體" w:hint="eastAsia"/>
          <w:strike/>
        </w:rPr>
        <w:t>i</w:t>
      </w:r>
      <w:proofErr w:type="spellEnd"/>
      <w:proofErr w:type="gramStart"/>
      <w:r w:rsidR="00DF596B" w:rsidRPr="008E7939">
        <w:rPr>
          <w:rFonts w:eastAsia="標楷體" w:hint="eastAsia"/>
          <w:strike/>
        </w:rPr>
        <w:t>個</w:t>
      </w:r>
      <w:proofErr w:type="gramEnd"/>
      <w:r w:rsidR="00DF596B" w:rsidRPr="008E7939">
        <w:rPr>
          <w:rFonts w:eastAsia="標楷體" w:hint="eastAsia"/>
          <w:strike/>
        </w:rPr>
        <w:t>月之</w:t>
      </w:r>
      <w:r w:rsidRPr="008E7939">
        <w:rPr>
          <w:rFonts w:eastAsia="標楷體" w:hint="eastAsia"/>
          <w:strike/>
        </w:rPr>
        <w:t>第一類資本淨額</w:t>
      </w:r>
    </w:p>
    <w:p w:rsidR="00AE3C16" w:rsidRPr="008E7939" w:rsidRDefault="00AE3C16" w:rsidP="00225CCA">
      <w:pPr>
        <w:spacing w:line="440" w:lineRule="exact"/>
        <w:ind w:firstLineChars="500" w:firstLine="1200"/>
        <w:jc w:val="both"/>
        <w:rPr>
          <w:rFonts w:eastAsia="標楷體"/>
          <w:strike/>
        </w:rPr>
      </w:pPr>
      <w:proofErr w:type="spellStart"/>
      <w:r w:rsidRPr="008E7939">
        <w:rPr>
          <w:rFonts w:eastAsia="標楷體" w:hint="eastAsia"/>
          <w:strike/>
        </w:rPr>
        <w:t>EM</w:t>
      </w:r>
      <w:r w:rsidRPr="008E7939">
        <w:rPr>
          <w:rFonts w:eastAsia="標楷體" w:hint="eastAsia"/>
          <w:strike/>
          <w:vertAlign w:val="subscript"/>
        </w:rPr>
        <w:t>i</w:t>
      </w:r>
      <w:proofErr w:type="spellEnd"/>
      <w:r w:rsidRPr="008E7939">
        <w:rPr>
          <w:rFonts w:eastAsia="標楷體" w:hint="eastAsia"/>
          <w:strike/>
        </w:rPr>
        <w:t>：最近第</w:t>
      </w:r>
      <w:proofErr w:type="spellStart"/>
      <w:r w:rsidRPr="008E7939">
        <w:rPr>
          <w:rFonts w:eastAsia="標楷體" w:hint="eastAsia"/>
          <w:strike/>
        </w:rPr>
        <w:t>i</w:t>
      </w:r>
      <w:proofErr w:type="spellEnd"/>
      <w:proofErr w:type="gramStart"/>
      <w:r w:rsidRPr="008E7939">
        <w:rPr>
          <w:rFonts w:eastAsia="標楷體" w:hint="eastAsia"/>
          <w:strike/>
        </w:rPr>
        <w:t>個</w:t>
      </w:r>
      <w:proofErr w:type="gramEnd"/>
      <w:r w:rsidRPr="008E7939">
        <w:rPr>
          <w:rFonts w:eastAsia="標楷體" w:hint="eastAsia"/>
          <w:strike/>
        </w:rPr>
        <w:t>月</w:t>
      </w:r>
      <w:proofErr w:type="gramStart"/>
      <w:r w:rsidRPr="008E7939">
        <w:rPr>
          <w:rFonts w:eastAsia="標楷體" w:hint="eastAsia"/>
          <w:strike/>
        </w:rPr>
        <w:t>之暴險總額</w:t>
      </w:r>
      <w:proofErr w:type="gramEnd"/>
    </w:p>
    <w:p w:rsidR="00422A9E" w:rsidRPr="008E7939" w:rsidRDefault="00A2216C" w:rsidP="00225CCA">
      <w:pPr>
        <w:pStyle w:val="11"/>
      </w:pPr>
      <w:r w:rsidRPr="008E7939">
        <w:rPr>
          <w:rFonts w:hint="eastAsia"/>
        </w:rPr>
        <w:t>二、第一類資本淨額之計算</w:t>
      </w:r>
    </w:p>
    <w:p w:rsidR="00083C6A" w:rsidRPr="008E7939" w:rsidRDefault="00E95536" w:rsidP="00274DDF">
      <w:pPr>
        <w:ind w:leftChars="150" w:left="360" w:firstLineChars="200" w:firstLine="480"/>
        <w:jc w:val="both"/>
        <w:rPr>
          <w:rFonts w:eastAsia="標楷體"/>
        </w:rPr>
      </w:pPr>
      <w:r w:rsidRPr="008E7939">
        <w:rPr>
          <w:rFonts w:eastAsia="標楷體" w:hint="eastAsia"/>
        </w:rPr>
        <w:t>第一類資本淨額，係</w:t>
      </w:r>
      <w:r w:rsidR="00CF6564" w:rsidRPr="008E7939">
        <w:rPr>
          <w:rFonts w:eastAsia="標楷體" w:hint="eastAsia"/>
          <w:u w:val="single"/>
        </w:rPr>
        <w:t>指</w:t>
      </w:r>
      <w:r w:rsidR="00A2216C" w:rsidRPr="008E7939">
        <w:rPr>
          <w:rFonts w:eastAsia="標楷體" w:hint="eastAsia"/>
        </w:rPr>
        <w:t>第一類資本扣除</w:t>
      </w:r>
      <w:r w:rsidR="004F3DE9" w:rsidRPr="008E7939">
        <w:rPr>
          <w:rFonts w:eastAsia="標楷體" w:hint="eastAsia"/>
        </w:rPr>
        <w:t>依本辦法及</w:t>
      </w:r>
      <w:r w:rsidR="00A2216C" w:rsidRPr="008E7939">
        <w:rPr>
          <w:rFonts w:eastAsia="標楷體" w:hint="eastAsia"/>
        </w:rPr>
        <w:t>計算方法說明</w:t>
      </w:r>
      <w:r w:rsidR="006A4D85" w:rsidRPr="008E7939">
        <w:rPr>
          <w:rFonts w:eastAsia="標楷體" w:hint="eastAsia"/>
        </w:rPr>
        <w:t>相關</w:t>
      </w:r>
      <w:r w:rsidR="00A2216C" w:rsidRPr="008E7939">
        <w:rPr>
          <w:rFonts w:eastAsia="標楷體" w:hint="eastAsia"/>
        </w:rPr>
        <w:t>規定之法定應扣除項目後之淨額</w:t>
      </w:r>
      <w:r w:rsidR="00A2216C" w:rsidRPr="008E7939">
        <w:rPr>
          <w:rFonts w:eastAsia="標楷體" w:hint="eastAsia"/>
          <w:strike/>
        </w:rPr>
        <w:t>計算</w:t>
      </w:r>
      <w:r w:rsidR="00A2216C" w:rsidRPr="008E7939">
        <w:rPr>
          <w:rFonts w:eastAsia="標楷體" w:hint="eastAsia"/>
        </w:rPr>
        <w:t>，</w:t>
      </w:r>
      <w:r w:rsidRPr="008E7939">
        <w:rPr>
          <w:rFonts w:eastAsia="標楷體" w:hint="eastAsia"/>
        </w:rPr>
        <w:t>若</w:t>
      </w:r>
      <w:r w:rsidR="00A2216C" w:rsidRPr="008E7939">
        <w:rPr>
          <w:rFonts w:eastAsia="標楷體" w:hint="eastAsia"/>
        </w:rPr>
        <w:t>已自第一類資本扣除之金額</w:t>
      </w:r>
      <w:r w:rsidR="00A2216C" w:rsidRPr="008E7939">
        <w:rPr>
          <w:rFonts w:eastAsia="標楷體" w:hint="eastAsia"/>
        </w:rPr>
        <w:t>(</w:t>
      </w:r>
      <w:r w:rsidR="00A2216C" w:rsidRPr="008E7939">
        <w:rPr>
          <w:rFonts w:eastAsia="標楷體" w:hint="eastAsia"/>
        </w:rPr>
        <w:t>分子</w:t>
      </w:r>
      <w:r w:rsidR="00A2216C" w:rsidRPr="008E7939">
        <w:rPr>
          <w:rFonts w:eastAsia="標楷體" w:hint="eastAsia"/>
        </w:rPr>
        <w:t>)</w:t>
      </w:r>
      <w:r w:rsidR="00A2216C" w:rsidRPr="008E7939">
        <w:rPr>
          <w:rFonts w:eastAsia="標楷體" w:hint="eastAsia"/>
        </w:rPr>
        <w:t>，</w:t>
      </w:r>
      <w:r w:rsidR="006A4D85" w:rsidRPr="008E7939">
        <w:rPr>
          <w:rFonts w:eastAsia="標楷體" w:hint="eastAsia"/>
          <w:strike/>
        </w:rPr>
        <w:t>亦應</w:t>
      </w:r>
      <w:r w:rsidR="009B1AFF" w:rsidRPr="008E7939">
        <w:rPr>
          <w:rFonts w:eastAsia="標楷體" w:hint="eastAsia"/>
          <w:u w:val="single"/>
        </w:rPr>
        <w:t>得</w:t>
      </w:r>
      <w:proofErr w:type="gramStart"/>
      <w:r w:rsidR="006A4D85" w:rsidRPr="008E7939">
        <w:rPr>
          <w:rFonts w:eastAsia="標楷體" w:hint="eastAsia"/>
        </w:rPr>
        <w:t>自</w:t>
      </w:r>
      <w:r w:rsidR="00A2216C" w:rsidRPr="008E7939">
        <w:rPr>
          <w:rFonts w:eastAsia="標楷體" w:hint="eastAsia"/>
        </w:rPr>
        <w:t>暴險</w:t>
      </w:r>
      <w:r w:rsidR="004F3DE9" w:rsidRPr="008E7939">
        <w:rPr>
          <w:rFonts w:eastAsia="標楷體" w:hint="eastAsia"/>
        </w:rPr>
        <w:t>總</w:t>
      </w:r>
      <w:r w:rsidR="00A2216C" w:rsidRPr="008E7939">
        <w:rPr>
          <w:rFonts w:eastAsia="標楷體" w:hint="eastAsia"/>
        </w:rPr>
        <w:t>額</w:t>
      </w:r>
      <w:proofErr w:type="gramEnd"/>
      <w:r w:rsidR="00AD2FC1" w:rsidRPr="008E7939">
        <w:rPr>
          <w:rFonts w:eastAsia="標楷體" w:hint="eastAsia"/>
        </w:rPr>
        <w:t>中</w:t>
      </w:r>
      <w:r w:rsidR="006A4D85" w:rsidRPr="008E7939">
        <w:rPr>
          <w:rFonts w:eastAsia="標楷體" w:hint="eastAsia"/>
        </w:rPr>
        <w:t>扣除</w:t>
      </w:r>
      <w:r w:rsidR="006A4D85" w:rsidRPr="008E7939">
        <w:rPr>
          <w:rFonts w:eastAsia="標楷體" w:hint="eastAsia"/>
        </w:rPr>
        <w:t>(</w:t>
      </w:r>
      <w:r w:rsidR="006A4D85" w:rsidRPr="008E7939">
        <w:rPr>
          <w:rFonts w:eastAsia="標楷體" w:hint="eastAsia"/>
        </w:rPr>
        <w:t>分母</w:t>
      </w:r>
      <w:r w:rsidR="006A4D85" w:rsidRPr="008E7939">
        <w:rPr>
          <w:rFonts w:eastAsia="標楷體" w:hint="eastAsia"/>
        </w:rPr>
        <w:t>)</w:t>
      </w:r>
      <w:r w:rsidR="006A4D85" w:rsidRPr="008E7939">
        <w:rPr>
          <w:rFonts w:eastAsia="標楷體" w:hint="eastAsia"/>
        </w:rPr>
        <w:t>，以避免重複計算</w:t>
      </w:r>
      <w:r w:rsidR="00E85640" w:rsidRPr="008E7939">
        <w:rPr>
          <w:rFonts w:eastAsia="標楷體" w:hint="eastAsia"/>
        </w:rPr>
        <w:t>。</w:t>
      </w:r>
    </w:p>
    <w:p w:rsidR="00083C6A" w:rsidRPr="008E7939" w:rsidRDefault="007F7B8C" w:rsidP="00225CCA">
      <w:pPr>
        <w:pStyle w:val="11"/>
      </w:pPr>
      <w:r w:rsidRPr="008E7939">
        <w:rPr>
          <w:rFonts w:hint="eastAsia"/>
        </w:rPr>
        <w:t>三</w:t>
      </w:r>
      <w:r w:rsidR="00083C6A" w:rsidRPr="008E7939">
        <w:rPr>
          <w:rFonts w:hint="eastAsia"/>
        </w:rPr>
        <w:t>、</w:t>
      </w:r>
      <w:r w:rsidR="00192F58" w:rsidRPr="008E7939">
        <w:rPr>
          <w:rFonts w:hint="eastAsia"/>
        </w:rPr>
        <w:t>暴險</w:t>
      </w:r>
      <w:r w:rsidR="004F3DE9" w:rsidRPr="008E7939">
        <w:rPr>
          <w:rFonts w:hint="eastAsia"/>
        </w:rPr>
        <w:t>總</w:t>
      </w:r>
      <w:r w:rsidR="00192F58" w:rsidRPr="008E7939">
        <w:rPr>
          <w:rFonts w:hint="eastAsia"/>
        </w:rPr>
        <w:t>額之計算</w:t>
      </w:r>
    </w:p>
    <w:p w:rsidR="00083C6A" w:rsidRPr="008E7939" w:rsidRDefault="00B03863" w:rsidP="00274DDF">
      <w:pPr>
        <w:ind w:leftChars="150" w:left="360" w:firstLineChars="200" w:firstLine="480"/>
        <w:jc w:val="both"/>
        <w:rPr>
          <w:rFonts w:eastAsia="標楷體"/>
        </w:rPr>
      </w:pPr>
      <w:r w:rsidRPr="008E7939">
        <w:rPr>
          <w:rFonts w:eastAsia="標楷體" w:hint="eastAsia"/>
        </w:rPr>
        <w:t>銀行</w:t>
      </w:r>
      <w:r w:rsidRPr="008E7939">
        <w:rPr>
          <w:rFonts w:eastAsia="標楷體" w:hint="eastAsia"/>
          <w:strike/>
        </w:rPr>
        <w:t>於衡量</w:t>
      </w:r>
      <w:proofErr w:type="gramStart"/>
      <w:r w:rsidR="00AB1C95" w:rsidRPr="008E7939">
        <w:rPr>
          <w:rFonts w:eastAsia="標楷體" w:hint="eastAsia"/>
          <w:u w:val="single"/>
        </w:rPr>
        <w:t>之</w:t>
      </w:r>
      <w:r w:rsidRPr="008E7939">
        <w:rPr>
          <w:rFonts w:eastAsia="標楷體" w:hint="eastAsia"/>
        </w:rPr>
        <w:t>暴險</w:t>
      </w:r>
      <w:r w:rsidR="004F3DE9" w:rsidRPr="008E7939">
        <w:rPr>
          <w:rFonts w:eastAsia="標楷體" w:hint="eastAsia"/>
        </w:rPr>
        <w:t>總</w:t>
      </w:r>
      <w:r w:rsidRPr="008E7939">
        <w:rPr>
          <w:rFonts w:eastAsia="標楷體" w:hint="eastAsia"/>
        </w:rPr>
        <w:t>額</w:t>
      </w:r>
      <w:proofErr w:type="gramEnd"/>
      <w:r w:rsidRPr="008E7939">
        <w:rPr>
          <w:rFonts w:eastAsia="標楷體" w:hint="eastAsia"/>
          <w:strike/>
        </w:rPr>
        <w:t>時，應加總</w:t>
      </w:r>
      <w:r w:rsidR="00AB1C95" w:rsidRPr="008E7939">
        <w:rPr>
          <w:rFonts w:eastAsia="標楷體" w:hint="eastAsia"/>
          <w:u w:val="single"/>
        </w:rPr>
        <w:t>為</w:t>
      </w:r>
      <w:r w:rsidR="006A4D85" w:rsidRPr="008E7939">
        <w:rPr>
          <w:rFonts w:eastAsia="標楷體" w:hint="eastAsia"/>
        </w:rPr>
        <w:t>資產負債</w:t>
      </w:r>
      <w:r w:rsidR="00AB1C95" w:rsidRPr="008E7939">
        <w:rPr>
          <w:rFonts w:eastAsia="標楷體" w:hint="eastAsia"/>
          <w:u w:val="single"/>
        </w:rPr>
        <w:t>表</w:t>
      </w:r>
      <w:proofErr w:type="gramStart"/>
      <w:r w:rsidR="006A4D85" w:rsidRPr="008E7939">
        <w:rPr>
          <w:rFonts w:eastAsia="標楷體" w:hint="eastAsia"/>
        </w:rPr>
        <w:t>表</w:t>
      </w:r>
      <w:proofErr w:type="gramEnd"/>
      <w:r w:rsidR="006A4D85" w:rsidRPr="008E7939">
        <w:rPr>
          <w:rFonts w:eastAsia="標楷體" w:hint="eastAsia"/>
        </w:rPr>
        <w:t>內</w:t>
      </w:r>
      <w:r w:rsidR="006A4D85" w:rsidRPr="008E7939">
        <w:rPr>
          <w:rFonts w:eastAsia="標楷體" w:hint="eastAsia"/>
          <w:strike/>
        </w:rPr>
        <w:t>及表外之</w:t>
      </w:r>
      <w:proofErr w:type="gramStart"/>
      <w:r w:rsidR="006A4D85" w:rsidRPr="008E7939">
        <w:rPr>
          <w:rFonts w:eastAsia="標楷體" w:hint="eastAsia"/>
          <w:strike/>
        </w:rPr>
        <w:t>暴險金額</w:t>
      </w:r>
      <w:r w:rsidR="00893F98" w:rsidRPr="008E7939">
        <w:rPr>
          <w:rFonts w:eastAsia="標楷體"/>
          <w:u w:val="single"/>
        </w:rPr>
        <w:t>暴險</w:t>
      </w:r>
      <w:proofErr w:type="gramEnd"/>
      <w:r w:rsidR="00893F98" w:rsidRPr="008E7939">
        <w:rPr>
          <w:rFonts w:eastAsia="標楷體"/>
          <w:u w:val="single"/>
        </w:rPr>
        <w:t>、衍生性</w:t>
      </w:r>
      <w:proofErr w:type="gramStart"/>
      <w:r w:rsidR="00893F98" w:rsidRPr="008E7939">
        <w:rPr>
          <w:rFonts w:eastAsia="標楷體"/>
          <w:u w:val="single"/>
        </w:rPr>
        <w:t>金融商品暴險</w:t>
      </w:r>
      <w:proofErr w:type="gramEnd"/>
      <w:r w:rsidR="00893F98" w:rsidRPr="008E7939">
        <w:rPr>
          <w:rFonts w:eastAsia="標楷體"/>
          <w:u w:val="single"/>
        </w:rPr>
        <w:t>、有價證券融資交易</w:t>
      </w:r>
      <w:r w:rsidR="00893F98" w:rsidRPr="008E7939">
        <w:rPr>
          <w:rFonts w:eastAsia="標楷體"/>
          <w:u w:val="single"/>
        </w:rPr>
        <w:t>(SFT)</w:t>
      </w:r>
      <w:proofErr w:type="gramStart"/>
      <w:r w:rsidR="00893F98" w:rsidRPr="008E7939">
        <w:rPr>
          <w:rFonts w:eastAsia="標楷體"/>
          <w:u w:val="single"/>
        </w:rPr>
        <w:t>暴險</w:t>
      </w:r>
      <w:r w:rsidR="00893F98" w:rsidRPr="008E7939">
        <w:rPr>
          <w:rFonts w:eastAsia="標楷體" w:hint="eastAsia"/>
          <w:u w:val="single"/>
        </w:rPr>
        <w:t>及</w:t>
      </w:r>
      <w:proofErr w:type="gramEnd"/>
      <w:r w:rsidR="00893F98" w:rsidRPr="008E7939">
        <w:rPr>
          <w:rFonts w:eastAsia="標楷體"/>
          <w:u w:val="single"/>
        </w:rPr>
        <w:t>資產負債表</w:t>
      </w:r>
      <w:proofErr w:type="gramStart"/>
      <w:r w:rsidR="00893F98" w:rsidRPr="008E7939">
        <w:rPr>
          <w:rFonts w:eastAsia="標楷體" w:hint="eastAsia"/>
          <w:u w:val="single"/>
        </w:rPr>
        <w:t>表</w:t>
      </w:r>
      <w:proofErr w:type="gramEnd"/>
      <w:r w:rsidR="00893F98" w:rsidRPr="008E7939">
        <w:rPr>
          <w:rFonts w:eastAsia="標楷體" w:hint="eastAsia"/>
          <w:u w:val="single"/>
        </w:rPr>
        <w:t>外</w:t>
      </w:r>
      <w:proofErr w:type="gramStart"/>
      <w:r w:rsidR="00893F98" w:rsidRPr="008E7939">
        <w:rPr>
          <w:rFonts w:eastAsia="標楷體"/>
          <w:u w:val="single"/>
        </w:rPr>
        <w:t>項目暴險</w:t>
      </w:r>
      <w:r w:rsidR="00893F98" w:rsidRPr="008E7939">
        <w:rPr>
          <w:rFonts w:eastAsia="標楷體" w:hint="eastAsia"/>
          <w:u w:val="single"/>
        </w:rPr>
        <w:t>之</w:t>
      </w:r>
      <w:proofErr w:type="gramEnd"/>
      <w:r w:rsidR="00893F98" w:rsidRPr="008E7939">
        <w:rPr>
          <w:rFonts w:eastAsia="標楷體" w:hint="eastAsia"/>
          <w:u w:val="single"/>
        </w:rPr>
        <w:t>加總</w:t>
      </w:r>
      <w:r w:rsidR="00BD4EAE" w:rsidRPr="008E7939">
        <w:rPr>
          <w:rFonts w:eastAsia="標楷體" w:hint="eastAsia"/>
        </w:rPr>
        <w:t>，計算方式如下：</w:t>
      </w:r>
    </w:p>
    <w:p w:rsidR="00BD4EAE" w:rsidRPr="008E7939" w:rsidRDefault="00DF74EA" w:rsidP="00274DDF">
      <w:pPr>
        <w:spacing w:line="440" w:lineRule="exact"/>
        <w:ind w:left="360" w:hangingChars="150" w:hanging="360"/>
        <w:jc w:val="both"/>
        <w:rPr>
          <w:rFonts w:eastAsia="標楷體"/>
        </w:rPr>
      </w:pPr>
      <w:r w:rsidRPr="008E7939">
        <w:rPr>
          <w:rFonts w:eastAsia="標楷體" w:hint="eastAsia"/>
        </w:rPr>
        <w:t>(</w:t>
      </w:r>
      <w:proofErr w:type="gramStart"/>
      <w:r w:rsidRPr="008E7939">
        <w:rPr>
          <w:rFonts w:eastAsia="標楷體" w:hint="eastAsia"/>
        </w:rPr>
        <w:t>一</w:t>
      </w:r>
      <w:proofErr w:type="gramEnd"/>
      <w:r w:rsidRPr="008E7939">
        <w:rPr>
          <w:rFonts w:eastAsia="標楷體" w:hint="eastAsia"/>
        </w:rPr>
        <w:t>)</w:t>
      </w:r>
      <w:r w:rsidR="00BD4EAE" w:rsidRPr="008E7939">
        <w:rPr>
          <w:rFonts w:eastAsia="標楷體" w:hint="eastAsia"/>
        </w:rPr>
        <w:t>一般性原則</w:t>
      </w:r>
    </w:p>
    <w:p w:rsidR="001D03C8" w:rsidRPr="008E7939" w:rsidRDefault="00AD2FC1" w:rsidP="00274DDF">
      <w:pPr>
        <w:ind w:leftChars="150" w:left="360" w:firstLineChars="200" w:firstLine="480"/>
        <w:jc w:val="both"/>
        <w:rPr>
          <w:rFonts w:eastAsia="標楷體"/>
        </w:rPr>
      </w:pPr>
      <w:r w:rsidRPr="008E7939">
        <w:rPr>
          <w:rFonts w:eastAsia="標楷體" w:hint="eastAsia"/>
        </w:rPr>
        <w:t>計算槓桿比率</w:t>
      </w:r>
      <w:proofErr w:type="gramStart"/>
      <w:r w:rsidRPr="008E7939">
        <w:rPr>
          <w:rFonts w:eastAsia="標楷體" w:hint="eastAsia"/>
        </w:rPr>
        <w:t>之暴險總</w:t>
      </w:r>
      <w:r w:rsidR="00BD4EAE" w:rsidRPr="008E7939">
        <w:rPr>
          <w:rFonts w:eastAsia="標楷體" w:hint="eastAsia"/>
        </w:rPr>
        <w:t>額</w:t>
      </w:r>
      <w:proofErr w:type="gramEnd"/>
      <w:r w:rsidR="00BD4EAE" w:rsidRPr="008E7939">
        <w:rPr>
          <w:rFonts w:eastAsia="標楷體" w:hint="eastAsia"/>
        </w:rPr>
        <w:t>時，</w:t>
      </w:r>
      <w:proofErr w:type="gramStart"/>
      <w:r w:rsidR="00BD4EAE" w:rsidRPr="008E7939">
        <w:rPr>
          <w:rFonts w:eastAsia="標楷體" w:hint="eastAsia"/>
        </w:rPr>
        <w:t>暴險</w:t>
      </w:r>
      <w:r w:rsidRPr="008E7939">
        <w:rPr>
          <w:rFonts w:eastAsia="標楷體" w:hint="eastAsia"/>
        </w:rPr>
        <w:t>總</w:t>
      </w:r>
      <w:r w:rsidR="00BD4EAE" w:rsidRPr="008E7939">
        <w:rPr>
          <w:rFonts w:eastAsia="標楷體" w:hint="eastAsia"/>
        </w:rPr>
        <w:t>額</w:t>
      </w:r>
      <w:proofErr w:type="gramEnd"/>
      <w:r w:rsidR="00BD4EAE" w:rsidRPr="008E7939">
        <w:rPr>
          <w:rFonts w:eastAsia="標楷體" w:hint="eastAsia"/>
        </w:rPr>
        <w:t>之衡量應與</w:t>
      </w:r>
      <w:r w:rsidR="004F3DE9" w:rsidRPr="008E7939">
        <w:rPr>
          <w:rFonts w:eastAsia="標楷體" w:hint="eastAsia"/>
        </w:rPr>
        <w:t>一般公認會計原則</w:t>
      </w:r>
      <w:r w:rsidR="00BD4EAE" w:rsidRPr="008E7939">
        <w:rPr>
          <w:rFonts w:eastAsia="標楷體" w:hint="eastAsia"/>
        </w:rPr>
        <w:t>及</w:t>
      </w:r>
      <w:r w:rsidR="004F3DE9" w:rsidRPr="008E7939">
        <w:rPr>
          <w:rFonts w:eastAsia="標楷體" w:hint="eastAsia"/>
        </w:rPr>
        <w:t>編製</w:t>
      </w:r>
      <w:r w:rsidR="00BD4EAE" w:rsidRPr="008E7939">
        <w:rPr>
          <w:rFonts w:eastAsia="標楷體" w:hint="eastAsia"/>
        </w:rPr>
        <w:t>財務報</w:t>
      </w:r>
      <w:r w:rsidR="004F3DE9" w:rsidRPr="008E7939">
        <w:rPr>
          <w:rFonts w:eastAsia="標楷體" w:hint="eastAsia"/>
        </w:rPr>
        <w:t>告</w:t>
      </w:r>
      <w:r w:rsidR="00BD4EAE" w:rsidRPr="008E7939">
        <w:rPr>
          <w:rFonts w:eastAsia="標楷體" w:hint="eastAsia"/>
        </w:rPr>
        <w:t>之相關規定一致</w:t>
      </w:r>
      <w:r w:rsidR="00893F98" w:rsidRPr="008E7939">
        <w:rPr>
          <w:rFonts w:eastAsia="標楷體" w:hint="eastAsia"/>
          <w:u w:val="single"/>
        </w:rPr>
        <w:t>，</w:t>
      </w:r>
      <w:r w:rsidR="00893F98" w:rsidRPr="008E7939">
        <w:rPr>
          <w:rFonts w:eastAsia="標楷體"/>
          <w:u w:val="single"/>
        </w:rPr>
        <w:t>以</w:t>
      </w:r>
      <w:proofErr w:type="gramStart"/>
      <w:r w:rsidR="00893F98" w:rsidRPr="008E7939">
        <w:rPr>
          <w:rFonts w:eastAsia="標楷體"/>
          <w:u w:val="single"/>
        </w:rPr>
        <w:t>帳面</w:t>
      </w:r>
      <w:proofErr w:type="gramEnd"/>
      <w:r w:rsidR="00893F98" w:rsidRPr="008E7939">
        <w:rPr>
          <w:rFonts w:eastAsia="標楷體"/>
          <w:u w:val="single"/>
        </w:rPr>
        <w:t>金額為基礎，並依據下列規定處理</w:t>
      </w:r>
      <w:r w:rsidR="00BD4EAE" w:rsidRPr="008E7939">
        <w:rPr>
          <w:rFonts w:eastAsia="標楷體" w:hint="eastAsia"/>
        </w:rPr>
        <w:t>：</w:t>
      </w:r>
    </w:p>
    <w:p w:rsidR="00BD4EAE" w:rsidRPr="008E7939" w:rsidRDefault="00B03863" w:rsidP="00274DDF">
      <w:pPr>
        <w:numPr>
          <w:ilvl w:val="0"/>
          <w:numId w:val="21"/>
        </w:numPr>
        <w:tabs>
          <w:tab w:val="clear" w:pos="960"/>
          <w:tab w:val="num" w:pos="720"/>
        </w:tabs>
        <w:spacing w:line="440" w:lineRule="exact"/>
        <w:ind w:left="720" w:hanging="238"/>
        <w:jc w:val="both"/>
        <w:rPr>
          <w:rFonts w:eastAsia="標楷體"/>
        </w:rPr>
      </w:pPr>
      <w:r w:rsidRPr="008E7939">
        <w:rPr>
          <w:rFonts w:eastAsia="標楷體" w:hint="eastAsia"/>
        </w:rPr>
        <w:t>資產負債表</w:t>
      </w:r>
      <w:proofErr w:type="gramStart"/>
      <w:r w:rsidRPr="008E7939">
        <w:rPr>
          <w:rFonts w:eastAsia="標楷體" w:hint="eastAsia"/>
        </w:rPr>
        <w:t>表</w:t>
      </w:r>
      <w:proofErr w:type="gramEnd"/>
      <w:r w:rsidRPr="008E7939">
        <w:rPr>
          <w:rFonts w:eastAsia="標楷體" w:hint="eastAsia"/>
        </w:rPr>
        <w:t>內</w:t>
      </w:r>
      <w:proofErr w:type="gramStart"/>
      <w:r w:rsidRPr="008E7939">
        <w:rPr>
          <w:rFonts w:eastAsia="標楷體" w:hint="eastAsia"/>
        </w:rPr>
        <w:t>及非衍生</w:t>
      </w:r>
      <w:r w:rsidR="00A01DCE" w:rsidRPr="008E7939">
        <w:rPr>
          <w:rFonts w:eastAsia="標楷體" w:hint="eastAsia"/>
          <w:u w:val="single"/>
        </w:rPr>
        <w:t>性</w:t>
      </w:r>
      <w:proofErr w:type="gramEnd"/>
      <w:r w:rsidR="00A01DCE" w:rsidRPr="008E7939">
        <w:rPr>
          <w:rFonts w:eastAsia="標楷體" w:hint="eastAsia"/>
          <w:u w:val="single"/>
        </w:rPr>
        <w:t>金融</w:t>
      </w:r>
      <w:r w:rsidRPr="008E7939">
        <w:rPr>
          <w:rFonts w:eastAsia="標楷體" w:hint="eastAsia"/>
        </w:rPr>
        <w:t>商品</w:t>
      </w:r>
      <w:proofErr w:type="gramStart"/>
      <w:r w:rsidRPr="008E7939">
        <w:rPr>
          <w:rFonts w:eastAsia="標楷體" w:hint="eastAsia"/>
        </w:rPr>
        <w:t>之暴險</w:t>
      </w:r>
      <w:proofErr w:type="gramEnd"/>
      <w:r w:rsidRPr="008E7939">
        <w:rPr>
          <w:rFonts w:eastAsia="標楷體" w:hint="eastAsia"/>
        </w:rPr>
        <w:t>，應扣除</w:t>
      </w:r>
      <w:r w:rsidR="00A01DCE" w:rsidRPr="008E7939">
        <w:rPr>
          <w:rFonts w:eastAsia="標楷體" w:hint="eastAsia"/>
          <w:u w:val="single"/>
        </w:rPr>
        <w:t>帳列</w:t>
      </w:r>
      <w:r w:rsidRPr="008E7939">
        <w:rPr>
          <w:rFonts w:eastAsia="標楷體" w:hint="eastAsia"/>
        </w:rPr>
        <w:t>備抵呆帳及評價調整</w:t>
      </w:r>
      <w:r w:rsidR="00133E01" w:rsidRPr="008E7939">
        <w:rPr>
          <w:rFonts w:eastAsia="標楷體" w:hint="eastAsia"/>
        </w:rPr>
        <w:t xml:space="preserve"> </w:t>
      </w:r>
      <w:r w:rsidRPr="008E7939">
        <w:rPr>
          <w:rFonts w:eastAsia="標楷體" w:hint="eastAsia"/>
          <w:u w:val="single"/>
        </w:rPr>
        <w:t>(</w:t>
      </w:r>
      <w:r w:rsidRPr="008E7939">
        <w:rPr>
          <w:rFonts w:eastAsia="標楷體" w:hint="eastAsia"/>
          <w:u w:val="single"/>
        </w:rPr>
        <w:t>如信用評價調整</w:t>
      </w:r>
      <w:r w:rsidR="00DF596B" w:rsidRPr="008E7939">
        <w:rPr>
          <w:rFonts w:eastAsia="標楷體" w:hint="eastAsia"/>
          <w:u w:val="single"/>
        </w:rPr>
        <w:t>（</w:t>
      </w:r>
      <w:r w:rsidR="00DF596B" w:rsidRPr="008E7939">
        <w:rPr>
          <w:rFonts w:eastAsia="標楷體" w:hint="eastAsia"/>
          <w:u w:val="single"/>
        </w:rPr>
        <w:t>CVA</w:t>
      </w:r>
      <w:r w:rsidR="00DF596B" w:rsidRPr="008E7939">
        <w:rPr>
          <w:rFonts w:eastAsia="標楷體" w:hint="eastAsia"/>
          <w:u w:val="single"/>
        </w:rPr>
        <w:t>）</w:t>
      </w:r>
      <w:r w:rsidRPr="008E7939">
        <w:rPr>
          <w:rFonts w:eastAsia="標楷體" w:hint="eastAsia"/>
          <w:u w:val="single"/>
        </w:rPr>
        <w:t>)</w:t>
      </w:r>
      <w:r w:rsidR="00133E01" w:rsidRPr="008E7939">
        <w:rPr>
          <w:rFonts w:eastAsia="標楷體" w:hint="eastAsia"/>
          <w:u w:val="single"/>
        </w:rPr>
        <w:t xml:space="preserve"> </w:t>
      </w:r>
      <w:r w:rsidR="00133E01" w:rsidRPr="008E7939">
        <w:rPr>
          <w:rFonts w:eastAsia="標楷體" w:hint="eastAsia"/>
          <w:u w:val="single"/>
        </w:rPr>
        <w:t>後之金額</w:t>
      </w:r>
      <w:r w:rsidRPr="008E7939">
        <w:rPr>
          <w:rFonts w:eastAsia="標楷體" w:hint="eastAsia"/>
        </w:rPr>
        <w:t>。</w:t>
      </w:r>
    </w:p>
    <w:p w:rsidR="00B03863" w:rsidRPr="008E7939" w:rsidRDefault="00133E01" w:rsidP="00274DDF">
      <w:pPr>
        <w:numPr>
          <w:ilvl w:val="0"/>
          <w:numId w:val="21"/>
        </w:numPr>
        <w:tabs>
          <w:tab w:val="clear" w:pos="960"/>
          <w:tab w:val="num" w:pos="720"/>
        </w:tabs>
        <w:spacing w:line="440" w:lineRule="exact"/>
        <w:ind w:left="720" w:hanging="238"/>
        <w:jc w:val="both"/>
        <w:rPr>
          <w:rFonts w:eastAsia="標楷體"/>
        </w:rPr>
      </w:pPr>
      <w:r w:rsidRPr="008E7939">
        <w:rPr>
          <w:rFonts w:eastAsia="標楷體" w:hint="eastAsia"/>
          <w:u w:val="single"/>
        </w:rPr>
        <w:t>除另有規定者外</w:t>
      </w:r>
      <w:r w:rsidRPr="008E7939">
        <w:rPr>
          <w:rFonts w:ascii="標楷體" w:eastAsia="標楷體" w:hAnsi="標楷體" w:hint="eastAsia"/>
          <w:u w:val="single"/>
        </w:rPr>
        <w:t>，</w:t>
      </w:r>
      <w:proofErr w:type="gramStart"/>
      <w:r w:rsidR="00B03863" w:rsidRPr="008E7939">
        <w:rPr>
          <w:rFonts w:eastAsia="標楷體" w:hint="eastAsia"/>
        </w:rPr>
        <w:t>暴險</w:t>
      </w:r>
      <w:r w:rsidR="002B06E7" w:rsidRPr="008E7939">
        <w:rPr>
          <w:rFonts w:eastAsia="標楷體" w:hint="eastAsia"/>
        </w:rPr>
        <w:t>金額</w:t>
      </w:r>
      <w:proofErr w:type="gramEnd"/>
      <w:r w:rsidR="00B03863" w:rsidRPr="008E7939">
        <w:rPr>
          <w:rFonts w:eastAsia="標楷體" w:hint="eastAsia"/>
        </w:rPr>
        <w:t>之計算，不</w:t>
      </w:r>
      <w:r w:rsidR="002B06E7" w:rsidRPr="008E7939">
        <w:rPr>
          <w:rFonts w:eastAsia="標楷體" w:hint="eastAsia"/>
        </w:rPr>
        <w:t>得扣除</w:t>
      </w:r>
      <w:r w:rsidR="00B03863" w:rsidRPr="008E7939">
        <w:rPr>
          <w:rFonts w:eastAsia="標楷體" w:hint="eastAsia"/>
        </w:rPr>
        <w:t>銀行所徵得</w:t>
      </w:r>
      <w:r w:rsidR="00AD2FC1" w:rsidRPr="008E7939">
        <w:rPr>
          <w:rFonts w:eastAsia="標楷體" w:hint="eastAsia"/>
        </w:rPr>
        <w:t>之</w:t>
      </w:r>
      <w:r w:rsidR="00B03863" w:rsidRPr="008E7939">
        <w:rPr>
          <w:rFonts w:eastAsia="標楷體" w:hint="eastAsia"/>
        </w:rPr>
        <w:t>實體擔保品、金融擔保品、保證或買進信用風險抵減工具</w:t>
      </w:r>
      <w:r w:rsidR="00DF596B" w:rsidRPr="008E7939">
        <w:rPr>
          <w:rFonts w:eastAsia="標楷體" w:hint="eastAsia"/>
        </w:rPr>
        <w:t>（</w:t>
      </w:r>
      <w:r w:rsidR="00DF596B" w:rsidRPr="008E7939">
        <w:rPr>
          <w:rFonts w:eastAsia="標楷體" w:hint="eastAsia"/>
        </w:rPr>
        <w:t>CRM</w:t>
      </w:r>
      <w:r w:rsidR="00DF596B" w:rsidRPr="008E7939">
        <w:rPr>
          <w:rFonts w:eastAsia="標楷體" w:hint="eastAsia"/>
        </w:rPr>
        <w:t>）</w:t>
      </w:r>
      <w:r w:rsidR="00B03863" w:rsidRPr="008E7939">
        <w:rPr>
          <w:rFonts w:eastAsia="標楷體" w:hint="eastAsia"/>
        </w:rPr>
        <w:t>之風險抵減效果。</w:t>
      </w:r>
    </w:p>
    <w:p w:rsidR="00B03863" w:rsidRPr="008E7939" w:rsidRDefault="00B03863" w:rsidP="00274DDF">
      <w:pPr>
        <w:numPr>
          <w:ilvl w:val="0"/>
          <w:numId w:val="21"/>
        </w:numPr>
        <w:tabs>
          <w:tab w:val="clear" w:pos="960"/>
          <w:tab w:val="num" w:pos="720"/>
        </w:tabs>
        <w:spacing w:line="440" w:lineRule="exact"/>
        <w:ind w:left="720" w:hanging="238"/>
        <w:jc w:val="both"/>
        <w:rPr>
          <w:rFonts w:eastAsia="標楷體"/>
        </w:rPr>
      </w:pPr>
      <w:r w:rsidRPr="008E7939">
        <w:rPr>
          <w:rFonts w:eastAsia="標楷體" w:hint="eastAsia"/>
        </w:rPr>
        <w:t>放款及存款不得互抵。</w:t>
      </w:r>
    </w:p>
    <w:p w:rsidR="00B03863" w:rsidRPr="008E7939" w:rsidRDefault="00DF74EA" w:rsidP="00274DDF">
      <w:pPr>
        <w:spacing w:line="440" w:lineRule="exact"/>
        <w:ind w:left="360" w:hangingChars="150" w:hanging="360"/>
        <w:jc w:val="both"/>
        <w:rPr>
          <w:rFonts w:eastAsia="標楷體"/>
        </w:rPr>
      </w:pPr>
      <w:r w:rsidRPr="008E7939">
        <w:rPr>
          <w:rFonts w:eastAsia="標楷體" w:hint="eastAsia"/>
        </w:rPr>
        <w:t>(</w:t>
      </w:r>
      <w:r w:rsidRPr="008E7939">
        <w:rPr>
          <w:rFonts w:eastAsia="標楷體" w:hint="eastAsia"/>
        </w:rPr>
        <w:t>二</w:t>
      </w:r>
      <w:r w:rsidRPr="008E7939">
        <w:rPr>
          <w:rFonts w:eastAsia="標楷體" w:hint="eastAsia"/>
        </w:rPr>
        <w:t>)</w:t>
      </w:r>
      <w:r w:rsidR="00B03863" w:rsidRPr="008E7939">
        <w:rPr>
          <w:rFonts w:eastAsia="標楷體" w:hint="eastAsia"/>
        </w:rPr>
        <w:t>資產負債表</w:t>
      </w:r>
      <w:r w:rsidR="00AD2FC1" w:rsidRPr="008E7939">
        <w:rPr>
          <w:rFonts w:eastAsia="標楷體" w:hint="eastAsia"/>
          <w:strike/>
        </w:rPr>
        <w:t>之</w:t>
      </w:r>
      <w:r w:rsidR="00AD2FC1" w:rsidRPr="008E7939">
        <w:rPr>
          <w:rFonts w:eastAsia="標楷體" w:hint="eastAsia"/>
        </w:rPr>
        <w:t>表</w:t>
      </w:r>
      <w:r w:rsidR="00B03863" w:rsidRPr="008E7939">
        <w:rPr>
          <w:rFonts w:eastAsia="標楷體" w:hint="eastAsia"/>
        </w:rPr>
        <w:t>內</w:t>
      </w:r>
      <w:r w:rsidR="00B03863" w:rsidRPr="008E7939">
        <w:rPr>
          <w:rFonts w:eastAsia="標楷體" w:hint="eastAsia"/>
          <w:strike/>
        </w:rPr>
        <w:t>項目</w:t>
      </w:r>
      <w:r w:rsidR="00E10E30" w:rsidRPr="008E7939">
        <w:rPr>
          <w:rFonts w:eastAsia="標楷體" w:hint="eastAsia"/>
          <w:u w:val="single"/>
        </w:rPr>
        <w:t>暴險</w:t>
      </w:r>
    </w:p>
    <w:p w:rsidR="00E10E30" w:rsidRPr="008E7939" w:rsidRDefault="00CF0CFF" w:rsidP="00274DDF">
      <w:pPr>
        <w:numPr>
          <w:ilvl w:val="0"/>
          <w:numId w:val="24"/>
        </w:numPr>
        <w:tabs>
          <w:tab w:val="clear" w:pos="960"/>
          <w:tab w:val="num" w:pos="720"/>
        </w:tabs>
        <w:spacing w:line="440" w:lineRule="exact"/>
        <w:ind w:left="720" w:hanging="238"/>
        <w:jc w:val="both"/>
        <w:rPr>
          <w:rFonts w:eastAsia="標楷體"/>
        </w:rPr>
      </w:pPr>
      <w:r w:rsidRPr="008E7939">
        <w:rPr>
          <w:rFonts w:eastAsia="標楷體" w:hint="eastAsia"/>
          <w:strike/>
        </w:rPr>
        <w:t>銀行</w:t>
      </w:r>
      <w:proofErr w:type="gramStart"/>
      <w:r w:rsidRPr="008E7939">
        <w:rPr>
          <w:rFonts w:eastAsia="標楷體" w:hint="eastAsia"/>
          <w:strike/>
        </w:rPr>
        <w:t>對於暴險</w:t>
      </w:r>
      <w:r w:rsidR="00385C4C" w:rsidRPr="008E7939">
        <w:rPr>
          <w:rFonts w:eastAsia="標楷體" w:hint="eastAsia"/>
          <w:strike/>
        </w:rPr>
        <w:t>總額</w:t>
      </w:r>
      <w:proofErr w:type="gramEnd"/>
      <w:r w:rsidR="00385C4C" w:rsidRPr="008E7939">
        <w:rPr>
          <w:rFonts w:eastAsia="標楷體" w:hint="eastAsia"/>
          <w:strike/>
        </w:rPr>
        <w:t>之衡量，除資產負債表上之資產總額外，</w:t>
      </w:r>
      <w:r w:rsidRPr="008E7939">
        <w:rPr>
          <w:rFonts w:eastAsia="標楷體" w:hint="eastAsia"/>
          <w:strike/>
        </w:rPr>
        <w:t>應</w:t>
      </w:r>
      <w:r w:rsidR="00385C4C" w:rsidRPr="008E7939">
        <w:rPr>
          <w:rFonts w:eastAsia="標楷體" w:hint="eastAsia"/>
          <w:strike/>
        </w:rPr>
        <w:t>將</w:t>
      </w:r>
      <w:r w:rsidRPr="008E7939">
        <w:rPr>
          <w:rFonts w:eastAsia="標楷體" w:hint="eastAsia"/>
          <w:strike/>
        </w:rPr>
        <w:t>有價證券融資交易及衍生商品</w:t>
      </w:r>
      <w:proofErr w:type="gramStart"/>
      <w:r w:rsidRPr="008E7939">
        <w:rPr>
          <w:rFonts w:eastAsia="標楷體" w:hint="eastAsia"/>
          <w:strike/>
        </w:rPr>
        <w:t>之暴險</w:t>
      </w:r>
      <w:r w:rsidR="00385C4C" w:rsidRPr="008E7939">
        <w:rPr>
          <w:rFonts w:eastAsia="標楷體" w:hint="eastAsia"/>
          <w:strike/>
        </w:rPr>
        <w:t>納入</w:t>
      </w:r>
      <w:proofErr w:type="gramEnd"/>
      <w:r w:rsidR="00385C4C" w:rsidRPr="008E7939">
        <w:rPr>
          <w:rFonts w:eastAsia="標楷體" w:hint="eastAsia"/>
          <w:strike/>
        </w:rPr>
        <w:t>計算</w:t>
      </w:r>
      <w:r w:rsidR="00810157" w:rsidRPr="008E7939">
        <w:rPr>
          <w:rFonts w:eastAsia="標楷體" w:hint="eastAsia"/>
          <w:strike/>
        </w:rPr>
        <w:t>。</w:t>
      </w:r>
      <w:r w:rsidR="00E10E30" w:rsidRPr="008E7939">
        <w:rPr>
          <w:rFonts w:eastAsia="標楷體" w:hint="eastAsia"/>
          <w:u w:val="single"/>
        </w:rPr>
        <w:t>資產負債表</w:t>
      </w:r>
      <w:proofErr w:type="gramStart"/>
      <w:r w:rsidR="00E10E30" w:rsidRPr="008E7939">
        <w:rPr>
          <w:rFonts w:eastAsia="標楷體" w:hint="eastAsia"/>
          <w:u w:val="single"/>
        </w:rPr>
        <w:t>表</w:t>
      </w:r>
      <w:proofErr w:type="gramEnd"/>
      <w:r w:rsidR="00E10E30" w:rsidRPr="008E7939">
        <w:rPr>
          <w:rFonts w:eastAsia="標楷體" w:hint="eastAsia"/>
          <w:u w:val="single"/>
        </w:rPr>
        <w:t>內</w:t>
      </w:r>
      <w:proofErr w:type="gramStart"/>
      <w:r w:rsidR="00E10E30" w:rsidRPr="008E7939">
        <w:rPr>
          <w:rFonts w:eastAsia="標楷體" w:hint="eastAsia"/>
          <w:u w:val="single"/>
        </w:rPr>
        <w:t>暴險應</w:t>
      </w:r>
      <w:proofErr w:type="gramEnd"/>
      <w:r w:rsidR="00E10E30" w:rsidRPr="008E7939">
        <w:rPr>
          <w:rFonts w:eastAsia="標楷體" w:hint="eastAsia"/>
          <w:u w:val="single"/>
        </w:rPr>
        <w:t>涵蓋</w:t>
      </w:r>
      <w:r w:rsidR="00E10E30" w:rsidRPr="008E7939">
        <w:rPr>
          <w:rFonts w:eastAsia="標楷體"/>
          <w:u w:val="single"/>
        </w:rPr>
        <w:t>所有資產</w:t>
      </w:r>
      <w:r w:rsidR="00E10E30" w:rsidRPr="008E7939">
        <w:rPr>
          <w:rFonts w:eastAsia="標楷體" w:hint="eastAsia"/>
          <w:u w:val="single"/>
        </w:rPr>
        <w:t>，但</w:t>
      </w:r>
      <w:proofErr w:type="gramStart"/>
      <w:r w:rsidR="00E10E30" w:rsidRPr="008E7939">
        <w:rPr>
          <w:rFonts w:eastAsia="標楷體" w:hint="eastAsia"/>
          <w:u w:val="single"/>
        </w:rPr>
        <w:t>不含衍生性</w:t>
      </w:r>
      <w:proofErr w:type="gramEnd"/>
      <w:r w:rsidR="00E10E30" w:rsidRPr="008E7939">
        <w:rPr>
          <w:rFonts w:eastAsia="標楷體" w:hint="eastAsia"/>
          <w:u w:val="single"/>
        </w:rPr>
        <w:t>金融商品與有價證券融資交易，其相關規定另於</w:t>
      </w:r>
      <w:r w:rsidR="00E10E30" w:rsidRPr="008E7939">
        <w:rPr>
          <w:rFonts w:eastAsia="標楷體" w:hint="eastAsia"/>
          <w:u w:val="single"/>
        </w:rPr>
        <w:t>(</w:t>
      </w:r>
      <w:r w:rsidR="00E10E30" w:rsidRPr="008E7939">
        <w:rPr>
          <w:rFonts w:eastAsia="標楷體" w:hint="eastAsia"/>
          <w:u w:val="single"/>
        </w:rPr>
        <w:t>三</w:t>
      </w:r>
      <w:r w:rsidR="00E10E30" w:rsidRPr="008E7939">
        <w:rPr>
          <w:rFonts w:eastAsia="標楷體" w:hint="eastAsia"/>
          <w:u w:val="single"/>
        </w:rPr>
        <w:t>)</w:t>
      </w:r>
      <w:r w:rsidR="00E10E30" w:rsidRPr="008E7939">
        <w:rPr>
          <w:rFonts w:eastAsia="標楷體" w:hint="eastAsia"/>
          <w:u w:val="single"/>
        </w:rPr>
        <w:t>、</w:t>
      </w:r>
      <w:r w:rsidR="00E10E30" w:rsidRPr="008E7939">
        <w:rPr>
          <w:rFonts w:eastAsia="標楷體" w:hint="eastAsia"/>
          <w:u w:val="single"/>
        </w:rPr>
        <w:t>(</w:t>
      </w:r>
      <w:r w:rsidR="00E10E30" w:rsidRPr="008E7939">
        <w:rPr>
          <w:rFonts w:eastAsia="標楷體" w:hint="eastAsia"/>
          <w:u w:val="single"/>
        </w:rPr>
        <w:t>四</w:t>
      </w:r>
      <w:r w:rsidR="00E10E30" w:rsidRPr="008E7939">
        <w:rPr>
          <w:rFonts w:eastAsia="標楷體" w:hint="eastAsia"/>
          <w:u w:val="single"/>
        </w:rPr>
        <w:t>)</w:t>
      </w:r>
      <w:r w:rsidR="00E10E30" w:rsidRPr="008E7939">
        <w:rPr>
          <w:rFonts w:eastAsia="標楷體" w:hint="eastAsia"/>
          <w:u w:val="single"/>
        </w:rPr>
        <w:t>段詳述之。</w:t>
      </w:r>
    </w:p>
    <w:p w:rsidR="00E10E30" w:rsidRPr="008E7939" w:rsidRDefault="00385C4C" w:rsidP="00274DDF">
      <w:pPr>
        <w:numPr>
          <w:ilvl w:val="0"/>
          <w:numId w:val="24"/>
        </w:numPr>
        <w:tabs>
          <w:tab w:val="clear" w:pos="960"/>
          <w:tab w:val="num" w:pos="720"/>
        </w:tabs>
        <w:spacing w:line="440" w:lineRule="exact"/>
        <w:ind w:left="720" w:hanging="238"/>
        <w:jc w:val="both"/>
        <w:rPr>
          <w:rFonts w:eastAsia="標楷體"/>
        </w:rPr>
      </w:pPr>
      <w:r w:rsidRPr="008E7939">
        <w:rPr>
          <w:rFonts w:eastAsia="標楷體" w:hint="eastAsia"/>
          <w:strike/>
        </w:rPr>
        <w:lastRenderedPageBreak/>
        <w:t>附買回交易及有價證券融資交易</w:t>
      </w:r>
      <w:r w:rsidR="00DF596B" w:rsidRPr="008E7939">
        <w:rPr>
          <w:rFonts w:eastAsia="標楷體" w:hint="eastAsia"/>
          <w:strike/>
        </w:rPr>
        <w:t>（</w:t>
      </w:r>
      <w:proofErr w:type="gramStart"/>
      <w:r w:rsidR="00DF596B" w:rsidRPr="008E7939">
        <w:rPr>
          <w:rFonts w:eastAsia="標楷體" w:hint="eastAsia"/>
          <w:strike/>
        </w:rPr>
        <w:t>採</w:t>
      </w:r>
      <w:proofErr w:type="gramEnd"/>
      <w:r w:rsidR="00DF596B" w:rsidRPr="008E7939">
        <w:rPr>
          <w:rFonts w:eastAsia="標楷體" w:hint="eastAsia"/>
          <w:strike/>
        </w:rPr>
        <w:t>當期暴險額法者）</w:t>
      </w:r>
      <w:r w:rsidRPr="008E7939">
        <w:rPr>
          <w:rFonts w:eastAsia="標楷體" w:hint="eastAsia"/>
          <w:strike/>
        </w:rPr>
        <w:t>：銀行應依一般公認會計原則</w:t>
      </w:r>
      <w:r w:rsidR="00CF0CFF" w:rsidRPr="008E7939">
        <w:rPr>
          <w:rFonts w:eastAsia="標楷體" w:hint="eastAsia"/>
          <w:strike/>
        </w:rPr>
        <w:t>之相關規定計算該等交易</w:t>
      </w:r>
      <w:proofErr w:type="gramStart"/>
      <w:r w:rsidR="00CF0CFF" w:rsidRPr="008E7939">
        <w:rPr>
          <w:rFonts w:eastAsia="標楷體" w:hint="eastAsia"/>
          <w:strike/>
        </w:rPr>
        <w:t>之暴險</w:t>
      </w:r>
      <w:proofErr w:type="gramEnd"/>
      <w:r w:rsidR="00CF0CFF" w:rsidRPr="008E7939">
        <w:rPr>
          <w:rFonts w:eastAsia="標楷體" w:hint="eastAsia"/>
          <w:strike/>
        </w:rPr>
        <w:t>，</w:t>
      </w:r>
      <w:r w:rsidR="00DF596B" w:rsidRPr="008E7939">
        <w:rPr>
          <w:rFonts w:eastAsia="標楷體" w:hint="eastAsia"/>
          <w:strike/>
        </w:rPr>
        <w:t>且計算風險抵減效果時，得適用本計算方法說明之「風險抵減工具」，但</w:t>
      </w:r>
      <w:r w:rsidR="00CF0CFF" w:rsidRPr="008E7939">
        <w:rPr>
          <w:rFonts w:eastAsia="標楷體" w:hint="eastAsia"/>
          <w:strike/>
        </w:rPr>
        <w:t>計算方法說明附錄</w:t>
      </w:r>
      <w:proofErr w:type="gramStart"/>
      <w:r w:rsidR="00CF0CFF" w:rsidRPr="008E7939">
        <w:rPr>
          <w:rFonts w:eastAsia="標楷體" w:hint="eastAsia"/>
          <w:strike/>
        </w:rPr>
        <w:t>三</w:t>
      </w:r>
      <w:proofErr w:type="gramEnd"/>
      <w:r w:rsidR="00EB5B9E" w:rsidRPr="008E7939">
        <w:rPr>
          <w:rFonts w:eastAsia="標楷體" w:hint="eastAsia"/>
          <w:strike/>
        </w:rPr>
        <w:t>有關跨商品</w:t>
      </w:r>
      <w:r w:rsidR="00CF0CFF" w:rsidRPr="008E7939">
        <w:rPr>
          <w:rFonts w:eastAsia="標楷體" w:hint="eastAsia"/>
          <w:strike/>
        </w:rPr>
        <w:t>淨額結算</w:t>
      </w:r>
      <w:r w:rsidR="00DF596B" w:rsidRPr="008E7939">
        <w:rPr>
          <w:rFonts w:eastAsia="標楷體" w:hint="eastAsia"/>
          <w:strike/>
        </w:rPr>
        <w:t>除外</w:t>
      </w:r>
      <w:r w:rsidR="00EB5B9E" w:rsidRPr="008E7939">
        <w:rPr>
          <w:rFonts w:eastAsia="標楷體" w:hint="eastAsia"/>
          <w:strike/>
        </w:rPr>
        <w:t>。</w:t>
      </w:r>
      <w:r w:rsidR="00DF596B" w:rsidRPr="008E7939">
        <w:rPr>
          <w:rFonts w:eastAsia="標楷體" w:hint="eastAsia"/>
          <w:strike/>
        </w:rPr>
        <w:t>計算槓桿比率時，應依下列方式</w:t>
      </w:r>
      <w:proofErr w:type="gramStart"/>
      <w:r w:rsidR="00DF596B" w:rsidRPr="008E7939">
        <w:rPr>
          <w:rFonts w:eastAsia="標楷體" w:hint="eastAsia"/>
          <w:strike/>
        </w:rPr>
        <w:t>計算衍</w:t>
      </w:r>
      <w:proofErr w:type="gramEnd"/>
      <w:r w:rsidR="00DF596B" w:rsidRPr="008E7939">
        <w:rPr>
          <w:rFonts w:eastAsia="標楷體" w:hint="eastAsia"/>
          <w:strike/>
        </w:rPr>
        <w:t>生性金融商品</w:t>
      </w:r>
      <w:proofErr w:type="gramStart"/>
      <w:r w:rsidR="00DF596B" w:rsidRPr="008E7939">
        <w:rPr>
          <w:rFonts w:eastAsia="標楷體" w:hint="eastAsia"/>
          <w:strike/>
        </w:rPr>
        <w:t>之暴險金額</w:t>
      </w:r>
      <w:proofErr w:type="gramEnd"/>
      <w:r w:rsidR="00DF596B" w:rsidRPr="008E7939">
        <w:rPr>
          <w:rFonts w:eastAsia="標楷體" w:hint="eastAsia"/>
          <w:strike/>
        </w:rPr>
        <w:t>（含信用衍生性商品）：</w:t>
      </w:r>
      <w:r w:rsidR="00E10E30" w:rsidRPr="008E7939">
        <w:rPr>
          <w:rFonts w:eastAsia="標楷體"/>
          <w:u w:val="single"/>
        </w:rPr>
        <w:t>負債項目不得</w:t>
      </w:r>
      <w:proofErr w:type="gramStart"/>
      <w:r w:rsidR="00E10E30" w:rsidRPr="008E7939">
        <w:rPr>
          <w:rFonts w:eastAsia="標楷體"/>
          <w:u w:val="single"/>
        </w:rPr>
        <w:t>自暴險</w:t>
      </w:r>
      <w:r w:rsidR="00E10E30" w:rsidRPr="008E7939">
        <w:rPr>
          <w:rFonts w:eastAsia="標楷體" w:hint="eastAsia"/>
          <w:u w:val="single"/>
        </w:rPr>
        <w:t>總額</w:t>
      </w:r>
      <w:proofErr w:type="gramEnd"/>
      <w:r w:rsidR="00E10E30" w:rsidRPr="008E7939">
        <w:rPr>
          <w:rFonts w:eastAsia="標楷體" w:hint="eastAsia"/>
          <w:u w:val="single"/>
        </w:rPr>
        <w:t>中</w:t>
      </w:r>
      <w:r w:rsidR="00E10E30" w:rsidRPr="008E7939">
        <w:rPr>
          <w:rFonts w:eastAsia="標楷體"/>
          <w:u w:val="single"/>
        </w:rPr>
        <w:t>扣除，</w:t>
      </w:r>
      <w:r w:rsidR="00E10E30" w:rsidRPr="008E7939">
        <w:rPr>
          <w:rFonts w:eastAsia="標楷體" w:hint="eastAsia"/>
          <w:u w:val="single"/>
        </w:rPr>
        <w:t>例</w:t>
      </w:r>
      <w:r w:rsidR="00E10E30" w:rsidRPr="008E7939">
        <w:rPr>
          <w:rFonts w:eastAsia="標楷體"/>
          <w:u w:val="single"/>
        </w:rPr>
        <w:t>如</w:t>
      </w:r>
      <w:r w:rsidR="00E10E30" w:rsidRPr="008E7939">
        <w:rPr>
          <w:rFonts w:ascii="Calibri" w:eastAsia="標楷體" w:hAnsi="Calibri" w:cs="Calibri" w:hint="eastAsia"/>
          <w:u w:val="single"/>
        </w:rPr>
        <w:t>因銀行自身信用風險變動所致之負債科目公平價值調整之損益或衍生性金融負債帳列價值調整數等</w:t>
      </w:r>
      <w:r w:rsidR="00E10E30" w:rsidRPr="008E7939">
        <w:rPr>
          <w:rFonts w:eastAsia="標楷體"/>
          <w:u w:val="single"/>
        </w:rPr>
        <w:t>。</w:t>
      </w:r>
    </w:p>
    <w:p w:rsidR="00EA4339" w:rsidRPr="008E7939" w:rsidRDefault="00EA4339" w:rsidP="00CD262A">
      <w:pPr>
        <w:spacing w:line="440" w:lineRule="exact"/>
        <w:ind w:leftChars="300" w:left="1008" w:hangingChars="120" w:hanging="288"/>
        <w:jc w:val="both"/>
        <w:rPr>
          <w:rFonts w:eastAsia="標楷體"/>
          <w:strike/>
        </w:rPr>
      </w:pPr>
      <w:r w:rsidRPr="008E7939">
        <w:rPr>
          <w:rFonts w:eastAsia="標楷體" w:hint="eastAsia"/>
          <w:strike/>
        </w:rPr>
        <w:t>(1)</w:t>
      </w:r>
      <w:r w:rsidR="00810157" w:rsidRPr="008E7939">
        <w:rPr>
          <w:rFonts w:eastAsia="標楷體" w:hint="eastAsia"/>
          <w:strike/>
        </w:rPr>
        <w:t>依</w:t>
      </w:r>
      <w:r w:rsidR="00385C4C" w:rsidRPr="008E7939">
        <w:rPr>
          <w:rFonts w:eastAsia="標楷體" w:hint="eastAsia"/>
          <w:strike/>
        </w:rPr>
        <w:t>一般公認會計原則</w:t>
      </w:r>
      <w:r w:rsidR="00D26CBB" w:rsidRPr="008E7939">
        <w:rPr>
          <w:rFonts w:eastAsia="標楷體" w:hint="eastAsia"/>
          <w:strike/>
        </w:rPr>
        <w:t>規定所計算</w:t>
      </w:r>
      <w:r w:rsidR="00385C4C" w:rsidRPr="008E7939">
        <w:rPr>
          <w:rFonts w:eastAsia="標楷體" w:hint="eastAsia"/>
          <w:strike/>
        </w:rPr>
        <w:t>之</w:t>
      </w:r>
      <w:r w:rsidR="002574C1" w:rsidRPr="008E7939">
        <w:rPr>
          <w:rFonts w:eastAsia="標楷體" w:hint="eastAsia"/>
          <w:strike/>
        </w:rPr>
        <w:t>表</w:t>
      </w:r>
      <w:proofErr w:type="gramStart"/>
      <w:r w:rsidR="002574C1" w:rsidRPr="008E7939">
        <w:rPr>
          <w:rFonts w:eastAsia="標楷體" w:hint="eastAsia"/>
          <w:strike/>
        </w:rPr>
        <w:t>內</w:t>
      </w:r>
      <w:r w:rsidR="00D26CBB" w:rsidRPr="008E7939">
        <w:rPr>
          <w:rFonts w:eastAsia="標楷體" w:hint="eastAsia"/>
          <w:strike/>
        </w:rPr>
        <w:t>暴險</w:t>
      </w:r>
      <w:proofErr w:type="gramEnd"/>
      <w:r w:rsidR="00D26CBB" w:rsidRPr="008E7939">
        <w:rPr>
          <w:rFonts w:eastAsia="標楷體" w:hint="eastAsia"/>
          <w:strike/>
        </w:rPr>
        <w:t>，加上依據交易對手信用風險</w:t>
      </w:r>
      <w:r w:rsidR="002574C1" w:rsidRPr="008E7939">
        <w:rPr>
          <w:rFonts w:eastAsia="標楷體" w:hint="eastAsia"/>
          <w:strike/>
        </w:rPr>
        <w:t>資本計提規定之當</w:t>
      </w:r>
      <w:proofErr w:type="gramStart"/>
      <w:r w:rsidR="002574C1" w:rsidRPr="008E7939">
        <w:rPr>
          <w:rFonts w:eastAsia="標楷體" w:hint="eastAsia"/>
          <w:strike/>
        </w:rPr>
        <w:t>期暴險</w:t>
      </w:r>
      <w:r w:rsidR="00810157" w:rsidRPr="008E7939">
        <w:rPr>
          <w:rFonts w:eastAsia="標楷體" w:hint="eastAsia"/>
          <w:strike/>
        </w:rPr>
        <w:t>額</w:t>
      </w:r>
      <w:r w:rsidR="002574C1" w:rsidRPr="008E7939">
        <w:rPr>
          <w:rFonts w:eastAsia="標楷體" w:hint="eastAsia"/>
          <w:strike/>
        </w:rPr>
        <w:t>法</w:t>
      </w:r>
      <w:proofErr w:type="gramEnd"/>
      <w:r w:rsidR="002574C1" w:rsidRPr="008E7939">
        <w:rPr>
          <w:rFonts w:eastAsia="標楷體" w:hint="eastAsia"/>
          <w:strike/>
        </w:rPr>
        <w:t>計算之未來潛在</w:t>
      </w:r>
      <w:proofErr w:type="gramStart"/>
      <w:r w:rsidR="002574C1" w:rsidRPr="008E7939">
        <w:rPr>
          <w:rFonts w:eastAsia="標楷體" w:hint="eastAsia"/>
          <w:strike/>
        </w:rPr>
        <w:t>暴險額</w:t>
      </w:r>
      <w:proofErr w:type="gramEnd"/>
      <w:r w:rsidR="002574C1" w:rsidRPr="008E7939">
        <w:rPr>
          <w:rFonts w:eastAsia="標楷體" w:hint="eastAsia"/>
          <w:strike/>
        </w:rPr>
        <w:t>（以名目本金為基礎乘以一計算權數</w:t>
      </w:r>
      <w:r w:rsidR="002574C1" w:rsidRPr="008E7939">
        <w:rPr>
          <w:rFonts w:eastAsia="標楷體" w:hint="eastAsia"/>
          <w:strike/>
        </w:rPr>
        <w:t>(add-on</w:t>
      </w:r>
      <w:r w:rsidR="00810157" w:rsidRPr="008E7939">
        <w:rPr>
          <w:rFonts w:eastAsia="標楷體" w:hint="eastAsia"/>
          <w:strike/>
        </w:rPr>
        <w:t xml:space="preserve"> factor</w:t>
      </w:r>
      <w:r w:rsidR="002574C1" w:rsidRPr="008E7939">
        <w:rPr>
          <w:rFonts w:eastAsia="標楷體" w:hint="eastAsia"/>
          <w:strike/>
        </w:rPr>
        <w:t>)</w:t>
      </w:r>
      <w:r w:rsidR="002574C1" w:rsidRPr="008E7939">
        <w:rPr>
          <w:rFonts w:eastAsia="標楷體" w:hint="eastAsia"/>
          <w:strike/>
        </w:rPr>
        <w:t>），轉換</w:t>
      </w:r>
      <w:r w:rsidR="00385C4C" w:rsidRPr="008E7939">
        <w:rPr>
          <w:rFonts w:eastAsia="標楷體" w:hint="eastAsia"/>
          <w:strike/>
        </w:rPr>
        <w:t>為</w:t>
      </w:r>
      <w:proofErr w:type="gramStart"/>
      <w:r w:rsidR="002574C1" w:rsidRPr="008E7939">
        <w:rPr>
          <w:rFonts w:eastAsia="標楷體" w:hint="eastAsia"/>
          <w:strike/>
        </w:rPr>
        <w:t>約當</w:t>
      </w:r>
      <w:r w:rsidR="00810157" w:rsidRPr="008E7939">
        <w:rPr>
          <w:rFonts w:eastAsia="標楷體" w:hint="eastAsia"/>
          <w:strike/>
        </w:rPr>
        <w:t>放款額</w:t>
      </w:r>
      <w:proofErr w:type="gramEnd"/>
      <w:r w:rsidR="002574C1" w:rsidRPr="008E7939">
        <w:rPr>
          <w:rFonts w:eastAsia="標楷體" w:hint="eastAsia"/>
          <w:strike/>
        </w:rPr>
        <w:t>(loan equivalent amount)</w:t>
      </w:r>
      <w:r w:rsidR="002574C1" w:rsidRPr="008E7939">
        <w:rPr>
          <w:rFonts w:eastAsia="標楷體" w:hint="eastAsia"/>
          <w:strike/>
        </w:rPr>
        <w:t>。</w:t>
      </w:r>
    </w:p>
    <w:p w:rsidR="007D473F" w:rsidRPr="008E7939" w:rsidRDefault="00D26CBB" w:rsidP="00CD262A">
      <w:pPr>
        <w:spacing w:line="440" w:lineRule="exact"/>
        <w:ind w:leftChars="300" w:left="1008" w:hangingChars="120" w:hanging="288"/>
        <w:jc w:val="both"/>
        <w:rPr>
          <w:rFonts w:eastAsia="標楷體"/>
          <w:strike/>
        </w:rPr>
      </w:pPr>
      <w:r w:rsidRPr="008E7939">
        <w:rPr>
          <w:rFonts w:eastAsia="標楷體" w:hint="eastAsia"/>
          <w:strike/>
        </w:rPr>
        <w:t>(2)</w:t>
      </w:r>
      <w:r w:rsidR="002574C1" w:rsidRPr="008E7939">
        <w:rPr>
          <w:rFonts w:eastAsia="標楷體" w:hint="eastAsia"/>
          <w:strike/>
        </w:rPr>
        <w:t>計算</w:t>
      </w:r>
      <w:r w:rsidR="00810157" w:rsidRPr="008E7939">
        <w:rPr>
          <w:rFonts w:eastAsia="標楷體" w:hint="eastAsia"/>
          <w:strike/>
        </w:rPr>
        <w:t>風險抵減效果</w:t>
      </w:r>
      <w:r w:rsidR="002574C1" w:rsidRPr="008E7939">
        <w:rPr>
          <w:rFonts w:eastAsia="標楷體" w:hint="eastAsia"/>
          <w:strike/>
        </w:rPr>
        <w:t>時，得適用</w:t>
      </w:r>
      <w:r w:rsidR="00810157" w:rsidRPr="008E7939">
        <w:rPr>
          <w:rFonts w:eastAsia="標楷體" w:hint="eastAsia"/>
          <w:strike/>
        </w:rPr>
        <w:t>本</w:t>
      </w:r>
      <w:r w:rsidR="002574C1" w:rsidRPr="008E7939">
        <w:rPr>
          <w:rFonts w:eastAsia="標楷體" w:hint="eastAsia"/>
          <w:strike/>
        </w:rPr>
        <w:t>計算方法說明</w:t>
      </w:r>
      <w:r w:rsidR="00810157" w:rsidRPr="008E7939">
        <w:rPr>
          <w:rFonts w:eastAsia="標楷體" w:hint="eastAsia"/>
          <w:strike/>
        </w:rPr>
        <w:t>之「風險抵減工具」，但附錄</w:t>
      </w:r>
      <w:proofErr w:type="gramStart"/>
      <w:r w:rsidR="00810157" w:rsidRPr="008E7939">
        <w:rPr>
          <w:rFonts w:eastAsia="標楷體" w:hint="eastAsia"/>
          <w:strike/>
        </w:rPr>
        <w:t>三</w:t>
      </w:r>
      <w:proofErr w:type="gramEnd"/>
      <w:r w:rsidR="00810157" w:rsidRPr="008E7939">
        <w:rPr>
          <w:rFonts w:eastAsia="標楷體" w:hint="eastAsia"/>
          <w:strike/>
        </w:rPr>
        <w:t>有關跨商品淨額結算除外</w:t>
      </w:r>
      <w:r w:rsidR="002574C1" w:rsidRPr="008E7939">
        <w:rPr>
          <w:rFonts w:eastAsia="標楷體" w:hint="eastAsia"/>
          <w:strike/>
        </w:rPr>
        <w:t>。</w:t>
      </w:r>
    </w:p>
    <w:p w:rsidR="00AC15BE" w:rsidRPr="008E7939" w:rsidRDefault="00AC15BE" w:rsidP="00274DDF">
      <w:pPr>
        <w:spacing w:line="440" w:lineRule="exact"/>
        <w:ind w:left="360" w:hangingChars="150" w:hanging="360"/>
        <w:jc w:val="both"/>
        <w:rPr>
          <w:rFonts w:eastAsia="標楷體"/>
          <w:u w:val="single"/>
        </w:rPr>
      </w:pPr>
      <w:r w:rsidRPr="008E7939">
        <w:rPr>
          <w:rFonts w:eastAsia="標楷體" w:hint="eastAsia"/>
        </w:rPr>
        <w:t>(</w:t>
      </w:r>
      <w:r w:rsidRPr="008E7939">
        <w:rPr>
          <w:rFonts w:eastAsia="標楷體" w:hint="eastAsia"/>
          <w:u w:val="single"/>
        </w:rPr>
        <w:t>三</w:t>
      </w:r>
      <w:r w:rsidRPr="008E7939">
        <w:rPr>
          <w:rFonts w:eastAsia="標楷體" w:hint="eastAsia"/>
        </w:rPr>
        <w:t>)</w:t>
      </w:r>
      <w:r w:rsidRPr="008E7939">
        <w:rPr>
          <w:rFonts w:eastAsia="標楷體" w:hint="eastAsia"/>
          <w:u w:val="single"/>
        </w:rPr>
        <w:t>衍生性金融商品暴險</w:t>
      </w:r>
    </w:p>
    <w:p w:rsidR="007E5072" w:rsidRPr="008E7939" w:rsidRDefault="007E5072" w:rsidP="00274DDF">
      <w:pPr>
        <w:numPr>
          <w:ilvl w:val="0"/>
          <w:numId w:val="23"/>
        </w:numPr>
        <w:tabs>
          <w:tab w:val="clear" w:pos="960"/>
          <w:tab w:val="num" w:pos="720"/>
        </w:tabs>
        <w:spacing w:line="440" w:lineRule="exact"/>
        <w:ind w:left="720" w:hanging="238"/>
        <w:jc w:val="both"/>
        <w:rPr>
          <w:rFonts w:eastAsia="標楷體"/>
        </w:rPr>
      </w:pPr>
      <w:r w:rsidRPr="008E7939">
        <w:rPr>
          <w:rFonts w:eastAsia="標楷體" w:hAnsi="Calibri" w:hint="eastAsia"/>
          <w:u w:val="single"/>
        </w:rPr>
        <w:t>銀行於</w:t>
      </w:r>
      <w:proofErr w:type="gramStart"/>
      <w:r w:rsidRPr="008E7939">
        <w:rPr>
          <w:rFonts w:eastAsia="標楷體" w:hAnsi="Calibri" w:hint="eastAsia"/>
          <w:u w:val="single"/>
        </w:rPr>
        <w:t>計算衍</w:t>
      </w:r>
      <w:proofErr w:type="gramEnd"/>
      <w:r w:rsidRPr="008E7939">
        <w:rPr>
          <w:rFonts w:eastAsia="標楷體" w:hAnsi="Calibri" w:hint="eastAsia"/>
          <w:u w:val="single"/>
        </w:rPr>
        <w:t>生性金融商品之</w:t>
      </w:r>
      <w:proofErr w:type="gramStart"/>
      <w:r w:rsidRPr="008E7939">
        <w:rPr>
          <w:rFonts w:eastAsia="標楷體" w:hAnsi="Calibri" w:hint="eastAsia"/>
          <w:u w:val="single"/>
        </w:rPr>
        <w:t>暴險額</w:t>
      </w:r>
      <w:proofErr w:type="gramEnd"/>
      <w:r w:rsidR="00216A53" w:rsidRPr="008E7939">
        <w:rPr>
          <w:rStyle w:val="a8"/>
          <w:rFonts w:eastAsia="標楷體" w:hAnsi="Calibri"/>
          <w:u w:val="single"/>
        </w:rPr>
        <w:footnoteReference w:id="1"/>
      </w:r>
      <w:r w:rsidRPr="008E7939">
        <w:rPr>
          <w:rFonts w:eastAsia="標楷體" w:hAnsi="Calibri" w:hint="eastAsia"/>
          <w:u w:val="single"/>
        </w:rPr>
        <w:t>時，應以重置成本</w:t>
      </w:r>
      <w:r w:rsidRPr="008E7939">
        <w:rPr>
          <w:rFonts w:eastAsia="標楷體" w:hAnsi="Calibri"/>
          <w:u w:val="single"/>
        </w:rPr>
        <w:t>(</w:t>
      </w:r>
      <w:r w:rsidR="00DE67DD" w:rsidRPr="008E7939">
        <w:rPr>
          <w:rFonts w:eastAsia="標楷體"/>
          <w:u w:val="single"/>
        </w:rPr>
        <w:t>r</w:t>
      </w:r>
      <w:r w:rsidRPr="008E7939">
        <w:rPr>
          <w:rFonts w:eastAsia="標楷體"/>
          <w:u w:val="single"/>
        </w:rPr>
        <w:t xml:space="preserve">eplacement </w:t>
      </w:r>
      <w:r w:rsidR="00DE67DD" w:rsidRPr="008E7939">
        <w:rPr>
          <w:rFonts w:eastAsia="標楷體"/>
          <w:u w:val="single"/>
        </w:rPr>
        <w:t>c</w:t>
      </w:r>
      <w:r w:rsidRPr="008E7939">
        <w:rPr>
          <w:rFonts w:eastAsia="標楷體"/>
          <w:u w:val="single"/>
        </w:rPr>
        <w:t>ost</w:t>
      </w:r>
      <w:r w:rsidR="0062123A" w:rsidRPr="008E7939">
        <w:rPr>
          <w:rFonts w:eastAsia="標楷體"/>
          <w:u w:val="single"/>
        </w:rPr>
        <w:t>，</w:t>
      </w:r>
      <w:r w:rsidRPr="008E7939">
        <w:rPr>
          <w:rFonts w:eastAsia="標楷體"/>
          <w:u w:val="single"/>
        </w:rPr>
        <w:t>RC</w:t>
      </w:r>
      <w:r w:rsidRPr="008E7939">
        <w:rPr>
          <w:rFonts w:eastAsia="標楷體" w:hAnsi="Calibri"/>
          <w:u w:val="single"/>
        </w:rPr>
        <w:t>)</w:t>
      </w:r>
      <w:r w:rsidRPr="008E7939">
        <w:rPr>
          <w:rFonts w:eastAsia="標楷體" w:hAnsi="Calibri" w:hint="eastAsia"/>
          <w:u w:val="single"/>
        </w:rPr>
        <w:t>做為當</w:t>
      </w:r>
      <w:proofErr w:type="gramStart"/>
      <w:r w:rsidRPr="008E7939">
        <w:rPr>
          <w:rFonts w:eastAsia="標楷體" w:hAnsi="Calibri" w:hint="eastAsia"/>
          <w:u w:val="single"/>
        </w:rPr>
        <w:t>期暴險額</w:t>
      </w:r>
      <w:proofErr w:type="gramEnd"/>
      <w:r w:rsidRPr="008E7939">
        <w:rPr>
          <w:rFonts w:eastAsia="標楷體" w:hAnsi="Calibri" w:hint="eastAsia"/>
          <w:u w:val="single"/>
        </w:rPr>
        <w:t>，加計未來潛在</w:t>
      </w:r>
      <w:proofErr w:type="gramStart"/>
      <w:r w:rsidRPr="008E7939">
        <w:rPr>
          <w:rFonts w:eastAsia="標楷體" w:hAnsi="Calibri" w:hint="eastAsia"/>
          <w:u w:val="single"/>
        </w:rPr>
        <w:t>暴險額</w:t>
      </w:r>
      <w:proofErr w:type="gramEnd"/>
      <w:r w:rsidRPr="008E7939">
        <w:rPr>
          <w:rFonts w:eastAsia="標楷體" w:hAnsi="Calibri"/>
          <w:u w:val="single"/>
        </w:rPr>
        <w:t>(</w:t>
      </w:r>
      <w:r w:rsidR="00DE67DD" w:rsidRPr="008E7939">
        <w:rPr>
          <w:rFonts w:eastAsia="標楷體"/>
          <w:u w:val="single"/>
        </w:rPr>
        <w:t>p</w:t>
      </w:r>
      <w:r w:rsidRPr="008E7939">
        <w:rPr>
          <w:rFonts w:eastAsia="標楷體"/>
          <w:u w:val="single"/>
        </w:rPr>
        <w:t xml:space="preserve">otential </w:t>
      </w:r>
      <w:r w:rsidR="00DE67DD" w:rsidRPr="008E7939">
        <w:rPr>
          <w:rFonts w:eastAsia="標楷體"/>
          <w:u w:val="single"/>
        </w:rPr>
        <w:t>f</w:t>
      </w:r>
      <w:r w:rsidRPr="008E7939">
        <w:rPr>
          <w:rFonts w:eastAsia="標楷體"/>
          <w:u w:val="single"/>
        </w:rPr>
        <w:t xml:space="preserve">uture </w:t>
      </w:r>
      <w:r w:rsidR="00DE67DD" w:rsidRPr="008E7939">
        <w:rPr>
          <w:rFonts w:eastAsia="標楷體"/>
          <w:u w:val="single"/>
        </w:rPr>
        <w:t>e</w:t>
      </w:r>
      <w:r w:rsidRPr="008E7939">
        <w:rPr>
          <w:rFonts w:eastAsia="標楷體"/>
          <w:u w:val="single"/>
        </w:rPr>
        <w:t>xposure</w:t>
      </w:r>
      <w:r w:rsidR="0062123A" w:rsidRPr="008E7939">
        <w:rPr>
          <w:rFonts w:eastAsia="標楷體"/>
          <w:u w:val="single"/>
        </w:rPr>
        <w:t>，</w:t>
      </w:r>
      <w:r w:rsidRPr="008E7939">
        <w:rPr>
          <w:rFonts w:eastAsia="標楷體"/>
          <w:u w:val="single"/>
        </w:rPr>
        <w:t>PFE</w:t>
      </w:r>
      <w:r w:rsidRPr="008E7939">
        <w:rPr>
          <w:rFonts w:eastAsia="標楷體" w:hAnsi="Calibri"/>
          <w:u w:val="single"/>
        </w:rPr>
        <w:t>)</w:t>
      </w:r>
      <w:r w:rsidRPr="008E7939">
        <w:rPr>
          <w:rFonts w:eastAsia="標楷體" w:hAnsi="Calibri" w:hint="eastAsia"/>
          <w:u w:val="single"/>
        </w:rPr>
        <w:t>之合計數進行衡量</w:t>
      </w:r>
      <w:r w:rsidRPr="008E7939">
        <w:rPr>
          <w:rFonts w:ascii="標楷體" w:eastAsia="標楷體" w:hAnsi="標楷體" w:hint="eastAsia"/>
          <w:u w:val="single"/>
        </w:rPr>
        <w:t>。</w:t>
      </w:r>
      <w:r w:rsidRPr="008E7939">
        <w:rPr>
          <w:rFonts w:eastAsia="標楷體" w:hAnsi="Calibri" w:hint="eastAsia"/>
          <w:u w:val="single"/>
        </w:rPr>
        <w:t>但信用衍生性金融商品之信用保障提供人另依第</w:t>
      </w:r>
      <w:r w:rsidRPr="008E7939">
        <w:rPr>
          <w:rFonts w:eastAsia="標楷體" w:hAnsi="Calibri" w:hint="eastAsia"/>
          <w:u w:val="single"/>
        </w:rPr>
        <w:t>5</w:t>
      </w:r>
      <w:r w:rsidRPr="008E7939">
        <w:rPr>
          <w:rFonts w:eastAsia="標楷體" w:hAnsi="Calibri" w:hint="eastAsia"/>
          <w:u w:val="single"/>
        </w:rPr>
        <w:t>點規定計算</w:t>
      </w:r>
      <w:proofErr w:type="gramStart"/>
      <w:r w:rsidRPr="008E7939">
        <w:rPr>
          <w:rFonts w:eastAsia="標楷體" w:hAnsi="Calibri" w:hint="eastAsia"/>
          <w:u w:val="single"/>
        </w:rPr>
        <w:t>暴險額</w:t>
      </w:r>
      <w:proofErr w:type="gramEnd"/>
      <w:r w:rsidRPr="008E7939">
        <w:rPr>
          <w:rFonts w:ascii="標楷體" w:eastAsia="標楷體" w:hAnsi="標楷體" w:hint="eastAsia"/>
          <w:u w:val="single"/>
        </w:rPr>
        <w:t>。</w:t>
      </w:r>
    </w:p>
    <w:p w:rsidR="007E5072" w:rsidRPr="008E7939" w:rsidRDefault="007E5072" w:rsidP="00274DDF">
      <w:pPr>
        <w:numPr>
          <w:ilvl w:val="0"/>
          <w:numId w:val="23"/>
        </w:numPr>
        <w:tabs>
          <w:tab w:val="clear" w:pos="960"/>
          <w:tab w:val="num" w:pos="720"/>
        </w:tabs>
        <w:spacing w:line="440" w:lineRule="exact"/>
        <w:ind w:left="720" w:hanging="238"/>
        <w:jc w:val="both"/>
        <w:rPr>
          <w:rFonts w:eastAsia="標楷體"/>
        </w:rPr>
      </w:pPr>
      <w:r w:rsidRPr="008E7939">
        <w:rPr>
          <w:rFonts w:eastAsia="標楷體"/>
          <w:u w:val="single"/>
        </w:rPr>
        <w:t>銀行如與</w:t>
      </w:r>
      <w:r w:rsidR="0019121D" w:rsidRPr="008E7939">
        <w:rPr>
          <w:rFonts w:eastAsia="標楷體" w:hint="eastAsia"/>
          <w:u w:val="single"/>
        </w:rPr>
        <w:t>交易</w:t>
      </w:r>
      <w:r w:rsidRPr="008E7939">
        <w:rPr>
          <w:rFonts w:eastAsia="標楷體"/>
          <w:u w:val="single"/>
        </w:rPr>
        <w:t>對手簽有符合規定之合格雙邊淨額結算合約，</w:t>
      </w:r>
      <w:r w:rsidRPr="008E7939">
        <w:rPr>
          <w:rFonts w:eastAsia="標楷體" w:hint="eastAsia"/>
          <w:u w:val="single"/>
        </w:rPr>
        <w:t>得適用計算方法說明附錄三</w:t>
      </w:r>
      <w:r w:rsidRPr="008E7939">
        <w:rPr>
          <w:rFonts w:ascii="新細明體" w:hAnsi="新細明體" w:hint="eastAsia"/>
          <w:u w:val="single"/>
        </w:rPr>
        <w:t>「</w:t>
      </w:r>
      <w:r w:rsidRPr="008E7939">
        <w:rPr>
          <w:rFonts w:eastAsia="標楷體" w:hint="eastAsia"/>
          <w:u w:val="single"/>
        </w:rPr>
        <w:t>衍生性商品雙邊淨額結算合約之信用風險抵減規定</w:t>
      </w:r>
      <w:r w:rsidRPr="008E7939">
        <w:rPr>
          <w:rFonts w:ascii="新細明體" w:hAnsi="新細明體" w:hint="eastAsia"/>
          <w:u w:val="single"/>
        </w:rPr>
        <w:t>」</w:t>
      </w:r>
      <w:r w:rsidRPr="008E7939">
        <w:rPr>
          <w:rFonts w:eastAsia="標楷體" w:hint="eastAsia"/>
          <w:bCs/>
          <w:u w:val="single"/>
        </w:rPr>
        <w:t>，</w:t>
      </w:r>
      <w:proofErr w:type="gramStart"/>
      <w:r w:rsidRPr="008E7939">
        <w:rPr>
          <w:rFonts w:eastAsia="標楷體" w:hint="eastAsia"/>
          <w:bCs/>
          <w:u w:val="single"/>
        </w:rPr>
        <w:t>惟</w:t>
      </w:r>
      <w:r w:rsidRPr="008E7939">
        <w:rPr>
          <w:rFonts w:eastAsia="標楷體" w:hint="eastAsia"/>
          <w:u w:val="single"/>
        </w:rPr>
        <w:t>跨商品</w:t>
      </w:r>
      <w:proofErr w:type="gramEnd"/>
      <w:r w:rsidRPr="008E7939">
        <w:rPr>
          <w:rFonts w:eastAsia="標楷體" w:hint="eastAsia"/>
          <w:u w:val="single"/>
        </w:rPr>
        <w:t>淨額結算除外</w:t>
      </w:r>
      <w:r w:rsidR="009C32C3" w:rsidRPr="008E7939">
        <w:rPr>
          <w:rStyle w:val="a8"/>
          <w:rFonts w:eastAsia="標楷體"/>
          <w:u w:val="single"/>
        </w:rPr>
        <w:footnoteReference w:id="2"/>
      </w:r>
      <w:r w:rsidRPr="008E7939">
        <w:rPr>
          <w:rFonts w:eastAsia="標楷體" w:hint="eastAsia"/>
          <w:u w:val="single"/>
        </w:rPr>
        <w:t>。</w:t>
      </w:r>
    </w:p>
    <w:p w:rsidR="007E5072" w:rsidRPr="008E7939" w:rsidRDefault="007E5072" w:rsidP="00274DDF">
      <w:pPr>
        <w:numPr>
          <w:ilvl w:val="0"/>
          <w:numId w:val="23"/>
        </w:numPr>
        <w:tabs>
          <w:tab w:val="clear" w:pos="960"/>
          <w:tab w:val="num" w:pos="720"/>
        </w:tabs>
        <w:spacing w:line="440" w:lineRule="exact"/>
        <w:ind w:left="720" w:hanging="238"/>
        <w:jc w:val="both"/>
        <w:rPr>
          <w:rFonts w:eastAsia="標楷體"/>
        </w:rPr>
      </w:pPr>
      <w:proofErr w:type="gramStart"/>
      <w:r w:rsidRPr="008E7939">
        <w:rPr>
          <w:rFonts w:eastAsia="標楷體" w:hint="eastAsia"/>
          <w:u w:val="single"/>
        </w:rPr>
        <w:t>計算衍</w:t>
      </w:r>
      <w:proofErr w:type="gramEnd"/>
      <w:r w:rsidRPr="008E7939">
        <w:rPr>
          <w:rFonts w:eastAsia="標楷體" w:hint="eastAsia"/>
          <w:u w:val="single"/>
        </w:rPr>
        <w:t>生性金融商品槓桿比率之</w:t>
      </w:r>
      <w:proofErr w:type="gramStart"/>
      <w:r w:rsidRPr="008E7939">
        <w:rPr>
          <w:rFonts w:eastAsia="標楷體" w:hint="eastAsia"/>
          <w:u w:val="single"/>
        </w:rPr>
        <w:t>暴險額</w:t>
      </w:r>
      <w:proofErr w:type="gramEnd"/>
      <w:r w:rsidRPr="008E7939">
        <w:rPr>
          <w:rFonts w:eastAsia="標楷體" w:hint="eastAsia"/>
          <w:u w:val="single"/>
        </w:rPr>
        <w:t>時，如交易對手兩造間之</w:t>
      </w:r>
      <w:r w:rsidR="00E578B0" w:rsidRPr="008E7939">
        <w:rPr>
          <w:rFonts w:eastAsia="標楷體" w:hint="eastAsia"/>
          <w:u w:val="single"/>
        </w:rPr>
        <w:t>價格</w:t>
      </w:r>
      <w:r w:rsidRPr="008E7939">
        <w:rPr>
          <w:rFonts w:eastAsia="標楷體" w:hint="eastAsia"/>
          <w:u w:val="single"/>
        </w:rPr>
        <w:t>變動保證金收付符合下列規定，其現金部位得視為交割前之支付款項：</w:t>
      </w:r>
    </w:p>
    <w:p w:rsidR="004312AA" w:rsidRPr="008E7939" w:rsidRDefault="004312AA" w:rsidP="00CD262A">
      <w:pPr>
        <w:spacing w:line="440" w:lineRule="exact"/>
        <w:ind w:leftChars="300" w:left="1008" w:hangingChars="120" w:hanging="288"/>
        <w:jc w:val="both"/>
        <w:rPr>
          <w:rFonts w:eastAsia="標楷體"/>
          <w:u w:val="single"/>
        </w:rPr>
      </w:pPr>
      <w:r w:rsidRPr="008E7939">
        <w:rPr>
          <w:rFonts w:eastAsia="標楷體"/>
          <w:u w:val="single"/>
        </w:rPr>
        <w:t>(1)</w:t>
      </w:r>
      <w:r w:rsidR="00A97054" w:rsidRPr="008E7939">
        <w:rPr>
          <w:rFonts w:eastAsia="標楷體" w:hint="eastAsia"/>
          <w:u w:val="single"/>
        </w:rPr>
        <w:t>所取得之現金價格變動保證金無使用上之限制，即收取方得將該保證金視同自有資金而加以運用，且無須與收取方之資產分開管理。</w:t>
      </w:r>
    </w:p>
    <w:p w:rsidR="004312AA" w:rsidRPr="008E7939" w:rsidRDefault="004312AA" w:rsidP="00CD262A">
      <w:pPr>
        <w:spacing w:line="440" w:lineRule="exact"/>
        <w:ind w:leftChars="300" w:left="1008" w:hangingChars="120" w:hanging="288"/>
        <w:jc w:val="both"/>
        <w:rPr>
          <w:rFonts w:eastAsia="標楷體"/>
          <w:u w:val="single"/>
        </w:rPr>
      </w:pPr>
      <w:r w:rsidRPr="008E7939">
        <w:rPr>
          <w:rFonts w:eastAsia="標楷體"/>
          <w:u w:val="single"/>
        </w:rPr>
        <w:t>(2)</w:t>
      </w:r>
      <w:r w:rsidRPr="008E7939">
        <w:rPr>
          <w:rFonts w:eastAsia="標楷體"/>
          <w:u w:val="single"/>
        </w:rPr>
        <w:t>價格變動保證金</w:t>
      </w:r>
      <w:r w:rsidRPr="008E7939">
        <w:rPr>
          <w:rFonts w:eastAsia="標楷體" w:hint="eastAsia"/>
          <w:u w:val="single"/>
        </w:rPr>
        <w:t>應</w:t>
      </w:r>
      <w:proofErr w:type="gramStart"/>
      <w:r w:rsidRPr="008E7939">
        <w:rPr>
          <w:rFonts w:eastAsia="標楷體"/>
          <w:u w:val="single"/>
        </w:rPr>
        <w:t>逐日依衍生性</w:t>
      </w:r>
      <w:proofErr w:type="gramEnd"/>
      <w:r w:rsidRPr="008E7939">
        <w:rPr>
          <w:rFonts w:eastAsia="標楷體"/>
          <w:u w:val="single"/>
        </w:rPr>
        <w:t>金融商品市價評估進行結算。</w:t>
      </w:r>
    </w:p>
    <w:p w:rsidR="004312AA" w:rsidRPr="008E7939" w:rsidRDefault="004312AA" w:rsidP="00CD262A">
      <w:pPr>
        <w:spacing w:line="440" w:lineRule="exact"/>
        <w:ind w:leftChars="300" w:left="1008" w:hangingChars="120" w:hanging="288"/>
        <w:jc w:val="both"/>
        <w:rPr>
          <w:rFonts w:eastAsia="標楷體"/>
          <w:u w:val="single"/>
        </w:rPr>
      </w:pPr>
      <w:r w:rsidRPr="008E7939">
        <w:rPr>
          <w:rFonts w:eastAsia="標楷體"/>
          <w:u w:val="single"/>
        </w:rPr>
        <w:t>(3)</w:t>
      </w:r>
      <w:r w:rsidRPr="008E7939">
        <w:rPr>
          <w:rFonts w:eastAsia="標楷體" w:hint="eastAsia"/>
          <w:u w:val="single"/>
        </w:rPr>
        <w:t>現金</w:t>
      </w:r>
      <w:r w:rsidRPr="008E7939">
        <w:rPr>
          <w:rFonts w:eastAsia="標楷體"/>
          <w:u w:val="single"/>
        </w:rPr>
        <w:t>價格變動保證金幣</w:t>
      </w:r>
      <w:proofErr w:type="gramStart"/>
      <w:r w:rsidRPr="008E7939">
        <w:rPr>
          <w:rFonts w:eastAsia="標楷體"/>
          <w:u w:val="single"/>
        </w:rPr>
        <w:t>別應與衍</w:t>
      </w:r>
      <w:proofErr w:type="gramEnd"/>
      <w:r w:rsidRPr="008E7939">
        <w:rPr>
          <w:rFonts w:eastAsia="標楷體"/>
          <w:u w:val="single"/>
        </w:rPr>
        <w:t>生性金融商品合約交割幣別一致。</w:t>
      </w:r>
    </w:p>
    <w:p w:rsidR="004312AA" w:rsidRPr="008E7939" w:rsidRDefault="004312AA" w:rsidP="00CD262A">
      <w:pPr>
        <w:spacing w:line="440" w:lineRule="exact"/>
        <w:ind w:leftChars="300" w:left="1008" w:hangingChars="120" w:hanging="288"/>
        <w:jc w:val="both"/>
        <w:rPr>
          <w:rFonts w:eastAsia="標楷體"/>
          <w:u w:val="single"/>
        </w:rPr>
      </w:pPr>
      <w:r w:rsidRPr="008E7939">
        <w:rPr>
          <w:rFonts w:eastAsia="標楷體"/>
          <w:u w:val="single"/>
        </w:rPr>
        <w:t>(4)</w:t>
      </w:r>
      <w:r w:rsidR="006518D9" w:rsidRPr="008E7939">
        <w:rPr>
          <w:rFonts w:eastAsia="標楷體"/>
          <w:u w:val="single"/>
        </w:rPr>
        <w:t>價格變動保證金應依交易對手所適用之追繳門檻及最低轉</w:t>
      </w:r>
      <w:r w:rsidR="006518D9" w:rsidRPr="008E7939">
        <w:rPr>
          <w:rFonts w:eastAsia="標楷體" w:hint="eastAsia"/>
          <w:u w:val="single"/>
        </w:rPr>
        <w:t>讓</w:t>
      </w:r>
      <w:r w:rsidRPr="008E7939">
        <w:rPr>
          <w:rFonts w:eastAsia="標楷體"/>
          <w:u w:val="single"/>
        </w:rPr>
        <w:t>金額</w:t>
      </w:r>
      <w:r w:rsidRPr="008E7939">
        <w:rPr>
          <w:rFonts w:ascii="Calibri" w:eastAsia="標楷體" w:hAnsi="Calibri" w:cs="Calibri" w:hint="eastAsia"/>
          <w:u w:val="single"/>
        </w:rPr>
        <w:t>(</w:t>
      </w:r>
      <w:r w:rsidRPr="008E7939">
        <w:rPr>
          <w:rFonts w:eastAsia="標楷體"/>
          <w:u w:val="single"/>
        </w:rPr>
        <w:t>minimum transfer amount</w:t>
      </w:r>
      <w:r w:rsidR="008B0A68" w:rsidRPr="008E7939">
        <w:rPr>
          <w:rFonts w:eastAsia="標楷體" w:hAnsi="Calibri"/>
          <w:u w:val="single"/>
        </w:rPr>
        <w:t>，</w:t>
      </w:r>
      <w:r w:rsidR="008B0A68" w:rsidRPr="008E7939">
        <w:rPr>
          <w:rFonts w:eastAsia="標楷體"/>
          <w:u w:val="single"/>
        </w:rPr>
        <w:t>MTA</w:t>
      </w:r>
      <w:r w:rsidRPr="008E7939">
        <w:rPr>
          <w:rFonts w:ascii="Calibri" w:eastAsia="標楷體" w:hAnsi="Calibri" w:cs="Calibri" w:hint="eastAsia"/>
          <w:u w:val="single"/>
        </w:rPr>
        <w:t>)</w:t>
      </w:r>
      <w:r w:rsidRPr="008E7939">
        <w:rPr>
          <w:rFonts w:eastAsia="標楷體"/>
          <w:u w:val="single"/>
        </w:rPr>
        <w:t>規定足額收取，以支應衍生性金融商品市價變動。</w:t>
      </w:r>
    </w:p>
    <w:p w:rsidR="004312AA" w:rsidRPr="008E7939" w:rsidRDefault="004312AA" w:rsidP="00CD262A">
      <w:pPr>
        <w:spacing w:line="440" w:lineRule="exact"/>
        <w:ind w:leftChars="300" w:left="1008" w:hangingChars="120" w:hanging="288"/>
        <w:jc w:val="both"/>
        <w:rPr>
          <w:u w:val="single"/>
        </w:rPr>
      </w:pPr>
      <w:r w:rsidRPr="008E7939">
        <w:rPr>
          <w:rFonts w:eastAsia="標楷體"/>
          <w:u w:val="single"/>
        </w:rPr>
        <w:t>(5)</w:t>
      </w:r>
      <w:r w:rsidRPr="008E7939">
        <w:rPr>
          <w:rFonts w:eastAsia="標楷體"/>
          <w:u w:val="single"/>
        </w:rPr>
        <w:t>交易對手間簽訂之單一淨額結算合約</w:t>
      </w:r>
      <w:r w:rsidRPr="008E7939">
        <w:rPr>
          <w:rFonts w:eastAsia="標楷體"/>
          <w:u w:val="single"/>
        </w:rPr>
        <w:t>(</w:t>
      </w:r>
      <w:r w:rsidR="00E44DA6" w:rsidRPr="008E7939">
        <w:rPr>
          <w:rFonts w:eastAsia="標楷體"/>
          <w:u w:val="single"/>
        </w:rPr>
        <w:t>m</w:t>
      </w:r>
      <w:r w:rsidRPr="008E7939">
        <w:rPr>
          <w:rFonts w:eastAsia="標楷體"/>
          <w:u w:val="single"/>
        </w:rPr>
        <w:t xml:space="preserve">aster </w:t>
      </w:r>
      <w:r w:rsidR="00E44DA6" w:rsidRPr="008E7939">
        <w:rPr>
          <w:rFonts w:eastAsia="標楷體"/>
          <w:u w:val="single"/>
        </w:rPr>
        <w:t>n</w:t>
      </w:r>
      <w:r w:rsidRPr="008E7939">
        <w:rPr>
          <w:rFonts w:eastAsia="標楷體"/>
          <w:u w:val="single"/>
        </w:rPr>
        <w:t xml:space="preserve">etting </w:t>
      </w:r>
      <w:r w:rsidR="00E44DA6" w:rsidRPr="008E7939">
        <w:rPr>
          <w:rFonts w:eastAsia="標楷體"/>
          <w:u w:val="single"/>
        </w:rPr>
        <w:t>a</w:t>
      </w:r>
      <w:r w:rsidRPr="008E7939">
        <w:rPr>
          <w:rFonts w:eastAsia="標楷體"/>
          <w:u w:val="single"/>
        </w:rPr>
        <w:t>greement</w:t>
      </w:r>
      <w:r w:rsidR="00E44DA6" w:rsidRPr="008E7939">
        <w:rPr>
          <w:rFonts w:eastAsia="標楷體"/>
          <w:u w:val="single"/>
        </w:rPr>
        <w:t>，</w:t>
      </w:r>
      <w:r w:rsidRPr="008E7939">
        <w:rPr>
          <w:rFonts w:eastAsia="標楷體"/>
          <w:u w:val="single"/>
        </w:rPr>
        <w:t>MNA)</w:t>
      </w:r>
      <w:r w:rsidR="006D6010" w:rsidRPr="008E7939">
        <w:rPr>
          <w:rStyle w:val="a8"/>
          <w:rFonts w:eastAsia="標楷體"/>
          <w:b/>
          <w:u w:val="single"/>
        </w:rPr>
        <w:footnoteReference w:id="3"/>
      </w:r>
      <w:r w:rsidRPr="008E7939">
        <w:rPr>
          <w:rFonts w:eastAsia="標楷體"/>
          <w:u w:val="single"/>
        </w:rPr>
        <w:t>應涵蓋衍生性金融商</w:t>
      </w:r>
      <w:r w:rsidRPr="008E7939">
        <w:rPr>
          <w:rFonts w:eastAsia="標楷體"/>
          <w:u w:val="single"/>
        </w:rPr>
        <w:lastRenderedPageBreak/>
        <w:t>品交易與價格變動保證金。</w:t>
      </w:r>
    </w:p>
    <w:p w:rsidR="007E5072" w:rsidRPr="008E7939" w:rsidRDefault="007E5072" w:rsidP="00274DDF">
      <w:pPr>
        <w:numPr>
          <w:ilvl w:val="0"/>
          <w:numId w:val="23"/>
        </w:numPr>
        <w:tabs>
          <w:tab w:val="clear" w:pos="960"/>
          <w:tab w:val="num" w:pos="720"/>
        </w:tabs>
        <w:spacing w:line="440" w:lineRule="exact"/>
        <w:ind w:left="720" w:hanging="238"/>
        <w:jc w:val="both"/>
        <w:rPr>
          <w:rFonts w:eastAsia="標楷體"/>
        </w:rPr>
      </w:pPr>
      <w:r w:rsidRPr="008E7939">
        <w:rPr>
          <w:rFonts w:eastAsia="標楷體" w:hint="eastAsia"/>
          <w:u w:val="single"/>
        </w:rPr>
        <w:t>銀行符合前述規定時，收取或提供現金價格變動保證金之處理，分述如下：</w:t>
      </w:r>
    </w:p>
    <w:p w:rsidR="004312AA" w:rsidRPr="008E7939" w:rsidRDefault="004312AA" w:rsidP="00CD262A">
      <w:pPr>
        <w:pStyle w:val="a9"/>
        <w:autoSpaceDE w:val="0"/>
        <w:autoSpaceDN w:val="0"/>
        <w:adjustRightInd w:val="0"/>
        <w:spacing w:after="0" w:line="440" w:lineRule="exact"/>
        <w:ind w:leftChars="300" w:left="1008" w:hangingChars="120" w:hanging="288"/>
        <w:jc w:val="both"/>
        <w:rPr>
          <w:rFonts w:eastAsia="標楷體"/>
          <w:szCs w:val="24"/>
          <w:u w:val="single"/>
          <w:lang w:eastAsia="zh-TW"/>
        </w:rPr>
      </w:pPr>
      <w:r w:rsidRPr="008E7939">
        <w:rPr>
          <w:rFonts w:eastAsia="標楷體" w:hint="eastAsia"/>
          <w:szCs w:val="24"/>
          <w:u w:val="single"/>
          <w:lang w:eastAsia="zh-TW"/>
        </w:rPr>
        <w:t>(1)</w:t>
      </w:r>
      <w:r w:rsidRPr="008E7939">
        <w:rPr>
          <w:rFonts w:eastAsia="標楷體" w:hint="eastAsia"/>
          <w:szCs w:val="24"/>
          <w:u w:val="single"/>
          <w:lang w:eastAsia="zh-TW"/>
        </w:rPr>
        <w:t>銀行收取現金價格變動保證金，在其衍生性金融商品合約之市價評估</w:t>
      </w:r>
      <w:r w:rsidR="00E44DA6" w:rsidRPr="008E7939">
        <w:rPr>
          <w:rFonts w:eastAsia="標楷體" w:hint="eastAsia"/>
          <w:szCs w:val="24"/>
          <w:u w:val="single"/>
          <w:lang w:eastAsia="zh-TW"/>
        </w:rPr>
        <w:t xml:space="preserve"> (</w:t>
      </w:r>
      <w:r w:rsidR="00E44DA6" w:rsidRPr="008E7939">
        <w:rPr>
          <w:rFonts w:eastAsia="標楷體"/>
          <w:szCs w:val="24"/>
          <w:u w:val="single"/>
          <w:lang w:eastAsia="zh-TW"/>
        </w:rPr>
        <w:t xml:space="preserve">mark to </w:t>
      </w:r>
      <w:r w:rsidRPr="008E7939">
        <w:rPr>
          <w:rFonts w:eastAsia="標楷體"/>
          <w:szCs w:val="24"/>
          <w:u w:val="single"/>
          <w:lang w:eastAsia="zh-TW"/>
        </w:rPr>
        <w:t>market</w:t>
      </w:r>
      <w:r w:rsidR="00E44DA6" w:rsidRPr="008E7939">
        <w:rPr>
          <w:rFonts w:eastAsia="標楷體"/>
          <w:szCs w:val="24"/>
          <w:u w:val="single"/>
          <w:lang w:eastAsia="zh-TW"/>
        </w:rPr>
        <w:t>，</w:t>
      </w:r>
      <w:r w:rsidR="00E44DA6" w:rsidRPr="008E7939">
        <w:rPr>
          <w:rFonts w:eastAsia="標楷體"/>
          <w:szCs w:val="24"/>
          <w:u w:val="single"/>
          <w:lang w:eastAsia="zh-TW"/>
        </w:rPr>
        <w:t>MTM</w:t>
      </w:r>
      <w:r w:rsidRPr="008E7939">
        <w:rPr>
          <w:rFonts w:eastAsia="標楷體" w:hint="eastAsia"/>
          <w:szCs w:val="24"/>
          <w:u w:val="single"/>
          <w:lang w:eastAsia="zh-TW"/>
        </w:rPr>
        <w:t>)</w:t>
      </w:r>
      <w:r w:rsidRPr="008E7939">
        <w:rPr>
          <w:rFonts w:eastAsia="標楷體" w:hint="eastAsia"/>
          <w:szCs w:val="24"/>
          <w:u w:val="single"/>
          <w:lang w:eastAsia="zh-TW"/>
        </w:rPr>
        <w:t>金額為正數，且未將市價評估扣減收取之現金價格變動保證金時，銀行可將該收取之保證金用以抵減重置成本，</w:t>
      </w:r>
      <w:r w:rsidR="00D973AB" w:rsidRPr="008E7939">
        <w:rPr>
          <w:rFonts w:eastAsia="標楷體" w:hint="eastAsia"/>
          <w:szCs w:val="24"/>
          <w:u w:val="single"/>
          <w:lang w:eastAsia="zh-TW"/>
        </w:rPr>
        <w:t>但不得抵減未來潛在</w:t>
      </w:r>
      <w:proofErr w:type="gramStart"/>
      <w:r w:rsidR="00D973AB" w:rsidRPr="008E7939">
        <w:rPr>
          <w:rFonts w:eastAsia="標楷體" w:hint="eastAsia"/>
          <w:szCs w:val="24"/>
          <w:u w:val="single"/>
          <w:lang w:eastAsia="zh-TW"/>
        </w:rPr>
        <w:t>暴險額</w:t>
      </w:r>
      <w:proofErr w:type="gramEnd"/>
      <w:r w:rsidR="00D973AB" w:rsidRPr="008E7939">
        <w:rPr>
          <w:rFonts w:eastAsia="標楷體" w:hint="eastAsia"/>
          <w:szCs w:val="24"/>
          <w:u w:val="single"/>
          <w:lang w:eastAsia="zh-TW"/>
        </w:rPr>
        <w:t>，亦不適用於雙邊淨額結算合約下</w:t>
      </w:r>
      <w:r w:rsidR="00D973AB" w:rsidRPr="008E7939">
        <w:rPr>
          <w:rFonts w:eastAsia="標楷體" w:hint="eastAsia"/>
          <w:szCs w:val="24"/>
          <w:u w:val="single"/>
          <w:lang w:eastAsia="zh-TW"/>
        </w:rPr>
        <w:t>NGR</w:t>
      </w:r>
      <w:r w:rsidR="00D973AB" w:rsidRPr="008E7939">
        <w:rPr>
          <w:rFonts w:eastAsia="標楷體" w:hint="eastAsia"/>
          <w:szCs w:val="24"/>
          <w:u w:val="single"/>
          <w:lang w:eastAsia="zh-TW"/>
        </w:rPr>
        <w:t>中重置成本之計算。</w:t>
      </w:r>
    </w:p>
    <w:p w:rsidR="004312AA" w:rsidRPr="008E7939" w:rsidRDefault="004312AA" w:rsidP="00CD262A">
      <w:pPr>
        <w:spacing w:line="440" w:lineRule="exact"/>
        <w:ind w:leftChars="300" w:left="1008" w:hangingChars="120" w:hanging="288"/>
        <w:jc w:val="both"/>
        <w:rPr>
          <w:u w:val="single"/>
        </w:rPr>
      </w:pPr>
      <w:r w:rsidRPr="008E7939">
        <w:rPr>
          <w:rFonts w:eastAsia="標楷體" w:hint="eastAsia"/>
          <w:u w:val="single"/>
        </w:rPr>
        <w:t>(2)</w:t>
      </w:r>
      <w:r w:rsidR="00671F23" w:rsidRPr="008E7939">
        <w:rPr>
          <w:rFonts w:eastAsia="標楷體" w:hint="eastAsia"/>
          <w:u w:val="single"/>
        </w:rPr>
        <w:t>若銀行提供現金價格變動保證金予交易對手，且</w:t>
      </w:r>
      <w:r w:rsidRPr="008E7939">
        <w:rPr>
          <w:rFonts w:eastAsia="標楷體" w:hint="eastAsia"/>
          <w:u w:val="single"/>
        </w:rPr>
        <w:t>該</w:t>
      </w:r>
      <w:proofErr w:type="gramStart"/>
      <w:r w:rsidRPr="008E7939">
        <w:rPr>
          <w:rFonts w:eastAsia="標楷體" w:hint="eastAsia"/>
          <w:u w:val="single"/>
        </w:rPr>
        <w:t>保證金</w:t>
      </w:r>
      <w:r w:rsidR="00671F23" w:rsidRPr="008E7939">
        <w:rPr>
          <w:rFonts w:eastAsia="標楷體" w:hint="eastAsia"/>
          <w:u w:val="single"/>
        </w:rPr>
        <w:t>仍帳列</w:t>
      </w:r>
      <w:proofErr w:type="gramEnd"/>
      <w:r w:rsidR="00671F23" w:rsidRPr="008E7939">
        <w:rPr>
          <w:rFonts w:eastAsia="標楷體" w:hint="eastAsia"/>
          <w:u w:val="single"/>
        </w:rPr>
        <w:t>銀行</w:t>
      </w:r>
      <w:r w:rsidRPr="008E7939">
        <w:rPr>
          <w:rFonts w:eastAsia="標楷體" w:hint="eastAsia"/>
          <w:u w:val="single"/>
        </w:rPr>
        <w:t>資產，則該資產可在銀行</w:t>
      </w:r>
      <w:proofErr w:type="gramStart"/>
      <w:r w:rsidRPr="008E7939">
        <w:rPr>
          <w:rFonts w:eastAsia="標楷體" w:hint="eastAsia"/>
          <w:u w:val="single"/>
        </w:rPr>
        <w:t>計算暴險總額</w:t>
      </w:r>
      <w:proofErr w:type="gramEnd"/>
      <w:r w:rsidRPr="008E7939">
        <w:rPr>
          <w:rFonts w:eastAsia="標楷體" w:hint="eastAsia"/>
          <w:u w:val="single"/>
        </w:rPr>
        <w:t>時排除。</w:t>
      </w:r>
    </w:p>
    <w:p w:rsidR="007E5072" w:rsidRPr="008E7939" w:rsidRDefault="007E5072" w:rsidP="00274DDF">
      <w:pPr>
        <w:numPr>
          <w:ilvl w:val="0"/>
          <w:numId w:val="23"/>
        </w:numPr>
        <w:tabs>
          <w:tab w:val="clear" w:pos="960"/>
          <w:tab w:val="num" w:pos="720"/>
        </w:tabs>
        <w:spacing w:line="440" w:lineRule="exact"/>
        <w:ind w:left="720" w:hanging="238"/>
        <w:jc w:val="both"/>
        <w:rPr>
          <w:rFonts w:eastAsia="標楷體"/>
        </w:rPr>
      </w:pPr>
      <w:r w:rsidRPr="008E7939">
        <w:rPr>
          <w:rFonts w:eastAsia="標楷體" w:hint="eastAsia"/>
          <w:u w:val="single"/>
        </w:rPr>
        <w:t>信用衍生性金融商品之信用保障提供人之額外處理：</w:t>
      </w:r>
    </w:p>
    <w:p w:rsidR="004312AA" w:rsidRPr="008E7939" w:rsidRDefault="004312AA" w:rsidP="00CD262A">
      <w:pPr>
        <w:pStyle w:val="a9"/>
        <w:autoSpaceDE w:val="0"/>
        <w:autoSpaceDN w:val="0"/>
        <w:adjustRightInd w:val="0"/>
        <w:spacing w:after="0" w:line="440" w:lineRule="exact"/>
        <w:ind w:leftChars="300" w:left="1008" w:hangingChars="120" w:hanging="288"/>
        <w:jc w:val="both"/>
        <w:rPr>
          <w:rFonts w:eastAsia="標楷體"/>
          <w:szCs w:val="24"/>
          <w:u w:val="single"/>
          <w:lang w:eastAsia="zh-TW"/>
        </w:rPr>
      </w:pPr>
      <w:r w:rsidRPr="008E7939">
        <w:rPr>
          <w:rFonts w:eastAsia="標楷體" w:hint="eastAsia"/>
          <w:szCs w:val="24"/>
          <w:u w:val="single"/>
          <w:lang w:eastAsia="zh-TW"/>
        </w:rPr>
        <w:t>(1)</w:t>
      </w:r>
      <w:proofErr w:type="gramStart"/>
      <w:r w:rsidRPr="008E7939">
        <w:rPr>
          <w:rFonts w:ascii="標楷體" w:eastAsia="標楷體" w:hAnsi="標楷體" w:hint="eastAsia"/>
          <w:szCs w:val="24"/>
          <w:u w:val="single"/>
          <w:lang w:eastAsia="zh-TW"/>
        </w:rPr>
        <w:t>暴險總額</w:t>
      </w:r>
      <w:proofErr w:type="gramEnd"/>
      <w:r w:rsidRPr="008E7939">
        <w:rPr>
          <w:rFonts w:ascii="標楷體" w:eastAsia="標楷體" w:hAnsi="標楷體" w:hint="eastAsia"/>
          <w:szCs w:val="24"/>
          <w:u w:val="single"/>
          <w:lang w:eastAsia="zh-TW"/>
        </w:rPr>
        <w:t>包括交易對手及合約標的信用資產</w:t>
      </w:r>
      <w:proofErr w:type="gramStart"/>
      <w:r w:rsidRPr="008E7939">
        <w:rPr>
          <w:rFonts w:ascii="標楷體" w:eastAsia="標楷體" w:hAnsi="標楷體" w:hint="eastAsia"/>
          <w:szCs w:val="24"/>
          <w:u w:val="single"/>
          <w:lang w:eastAsia="zh-TW"/>
        </w:rPr>
        <w:t>之暴險</w:t>
      </w:r>
      <w:proofErr w:type="gramEnd"/>
      <w:r w:rsidRPr="008E7939">
        <w:rPr>
          <w:rFonts w:ascii="標楷體" w:eastAsia="標楷體" w:hAnsi="標楷體" w:hint="eastAsia"/>
          <w:szCs w:val="24"/>
          <w:u w:val="single"/>
          <w:lang w:eastAsia="zh-TW"/>
        </w:rPr>
        <w:t>。交易對手之</w:t>
      </w:r>
      <w:proofErr w:type="gramStart"/>
      <w:r w:rsidRPr="008E7939">
        <w:rPr>
          <w:rFonts w:ascii="標楷體" w:eastAsia="標楷體" w:hAnsi="標楷體" w:hint="eastAsia"/>
          <w:szCs w:val="24"/>
          <w:u w:val="single"/>
          <w:lang w:eastAsia="zh-TW"/>
        </w:rPr>
        <w:t>暴險額</w:t>
      </w:r>
      <w:proofErr w:type="gramEnd"/>
      <w:r w:rsidRPr="008E7939">
        <w:rPr>
          <w:rFonts w:ascii="標楷體" w:eastAsia="標楷體" w:hAnsi="標楷體" w:hint="eastAsia"/>
          <w:szCs w:val="24"/>
          <w:u w:val="single"/>
          <w:lang w:eastAsia="zh-TW"/>
        </w:rPr>
        <w:t>以當</w:t>
      </w:r>
      <w:proofErr w:type="gramStart"/>
      <w:r w:rsidRPr="008E7939">
        <w:rPr>
          <w:rFonts w:ascii="標楷體" w:eastAsia="標楷體" w:hAnsi="標楷體" w:hint="eastAsia"/>
          <w:szCs w:val="24"/>
          <w:u w:val="single"/>
          <w:lang w:eastAsia="zh-TW"/>
        </w:rPr>
        <w:t>期暴險額</w:t>
      </w:r>
      <w:proofErr w:type="gramEnd"/>
      <w:r w:rsidRPr="008E7939">
        <w:rPr>
          <w:rFonts w:ascii="標楷體" w:eastAsia="標楷體" w:hAnsi="標楷體" w:hint="eastAsia"/>
          <w:szCs w:val="24"/>
          <w:u w:val="single"/>
          <w:lang w:eastAsia="zh-TW"/>
        </w:rPr>
        <w:t>計算（無須計算未來潛在暴險額</w:t>
      </w:r>
      <w:r w:rsidR="006D6010" w:rsidRPr="008E7939">
        <w:rPr>
          <w:rStyle w:val="a8"/>
          <w:rFonts w:ascii="標楷體" w:eastAsia="標楷體" w:hAnsi="標楷體"/>
          <w:szCs w:val="24"/>
          <w:u w:val="single"/>
          <w:lang w:eastAsia="zh-TW"/>
        </w:rPr>
        <w:footnoteReference w:id="4"/>
      </w:r>
      <w:r w:rsidRPr="008E7939">
        <w:rPr>
          <w:rFonts w:ascii="標楷體" w:eastAsia="標楷體" w:hAnsi="標楷體" w:hint="eastAsia"/>
          <w:szCs w:val="24"/>
          <w:u w:val="single"/>
          <w:lang w:eastAsia="zh-TW"/>
        </w:rPr>
        <w:t>），標的信用資產之</w:t>
      </w:r>
      <w:proofErr w:type="gramStart"/>
      <w:r w:rsidRPr="008E7939">
        <w:rPr>
          <w:rFonts w:ascii="標楷體" w:eastAsia="標楷體" w:hAnsi="標楷體" w:hint="eastAsia"/>
          <w:szCs w:val="24"/>
          <w:u w:val="single"/>
          <w:lang w:eastAsia="zh-TW"/>
        </w:rPr>
        <w:t>暴險額</w:t>
      </w:r>
      <w:proofErr w:type="gramEnd"/>
      <w:r w:rsidRPr="008E7939">
        <w:rPr>
          <w:rFonts w:ascii="標楷體" w:eastAsia="標楷體" w:hAnsi="標楷體" w:hint="eastAsia"/>
          <w:szCs w:val="24"/>
          <w:u w:val="single"/>
          <w:lang w:eastAsia="zh-TW"/>
        </w:rPr>
        <w:t>以該信用衍生性金融商品之有效名目本金計算，且有效名目本金應反映槓桿或交易結構強化後之合約</w:t>
      </w:r>
      <w:proofErr w:type="gramStart"/>
      <w:r w:rsidRPr="008E7939">
        <w:rPr>
          <w:rFonts w:ascii="標楷體" w:eastAsia="標楷體" w:hAnsi="標楷體" w:hint="eastAsia"/>
          <w:szCs w:val="24"/>
          <w:u w:val="single"/>
          <w:lang w:eastAsia="zh-TW"/>
        </w:rPr>
        <w:t>真實暴險</w:t>
      </w:r>
      <w:proofErr w:type="gramEnd"/>
      <w:r w:rsidRPr="008E7939">
        <w:rPr>
          <w:rFonts w:eastAsia="標楷體" w:hint="eastAsia"/>
          <w:szCs w:val="24"/>
          <w:u w:val="single"/>
          <w:lang w:eastAsia="zh-TW"/>
        </w:rPr>
        <w:t>。</w:t>
      </w:r>
    </w:p>
    <w:p w:rsidR="00EF15DE" w:rsidRPr="008E7939" w:rsidRDefault="004312AA" w:rsidP="00CD262A">
      <w:pPr>
        <w:pStyle w:val="a9"/>
        <w:autoSpaceDE w:val="0"/>
        <w:autoSpaceDN w:val="0"/>
        <w:adjustRightInd w:val="0"/>
        <w:spacing w:after="0" w:line="440" w:lineRule="exact"/>
        <w:ind w:leftChars="300" w:left="1008" w:hangingChars="120" w:hanging="288"/>
        <w:jc w:val="both"/>
        <w:rPr>
          <w:rFonts w:eastAsia="標楷體"/>
          <w:szCs w:val="24"/>
          <w:u w:val="single"/>
          <w:lang w:eastAsia="zh-TW"/>
        </w:rPr>
      </w:pPr>
      <w:r w:rsidRPr="008E7939">
        <w:rPr>
          <w:rFonts w:eastAsia="標楷體" w:hint="eastAsia"/>
          <w:szCs w:val="24"/>
          <w:u w:val="single"/>
          <w:lang w:eastAsia="zh-TW"/>
        </w:rPr>
        <w:t>(2)</w:t>
      </w:r>
      <w:r w:rsidRPr="008E7939">
        <w:rPr>
          <w:rFonts w:eastAsia="標楷體" w:hint="eastAsia"/>
          <w:szCs w:val="24"/>
          <w:u w:val="single"/>
          <w:lang w:eastAsia="zh-TW"/>
        </w:rPr>
        <w:t>如果提供信用保障之銀行已在第一類資本淨額中</w:t>
      </w:r>
      <w:r w:rsidRPr="008E7939">
        <w:rPr>
          <w:rFonts w:eastAsia="標楷體"/>
          <w:szCs w:val="24"/>
          <w:u w:val="single"/>
          <w:lang w:eastAsia="zh-TW"/>
        </w:rPr>
        <w:t>反</w:t>
      </w:r>
      <w:r w:rsidRPr="008E7939">
        <w:rPr>
          <w:rFonts w:eastAsia="標楷體" w:hint="eastAsia"/>
          <w:szCs w:val="24"/>
          <w:u w:val="single"/>
          <w:lang w:eastAsia="zh-TW"/>
        </w:rPr>
        <w:t>映</w:t>
      </w:r>
      <w:r w:rsidRPr="008E7939">
        <w:rPr>
          <w:rFonts w:eastAsia="標楷體"/>
          <w:szCs w:val="24"/>
          <w:u w:val="single"/>
          <w:lang w:eastAsia="zh-TW"/>
        </w:rPr>
        <w:t>公平價值負</w:t>
      </w:r>
      <w:r w:rsidRPr="008E7939">
        <w:rPr>
          <w:rFonts w:eastAsia="標楷體" w:hint="eastAsia"/>
          <w:szCs w:val="24"/>
          <w:u w:val="single"/>
          <w:lang w:eastAsia="zh-TW"/>
        </w:rPr>
        <w:t>數調整，則該</w:t>
      </w:r>
      <w:r w:rsidRPr="008E7939">
        <w:rPr>
          <w:rFonts w:eastAsia="標楷體"/>
          <w:szCs w:val="24"/>
          <w:u w:val="single"/>
          <w:lang w:eastAsia="zh-TW"/>
        </w:rPr>
        <w:t>負</w:t>
      </w:r>
      <w:r w:rsidRPr="008E7939">
        <w:rPr>
          <w:rFonts w:eastAsia="標楷體" w:hint="eastAsia"/>
          <w:szCs w:val="24"/>
          <w:u w:val="single"/>
          <w:lang w:eastAsia="zh-TW"/>
        </w:rPr>
        <w:t>數調整可抵減提供保障的信用衍生性金融商品之</w:t>
      </w:r>
      <w:r w:rsidRPr="008E7939">
        <w:rPr>
          <w:rFonts w:eastAsia="標楷體" w:hAnsi="標楷體" w:hint="eastAsia"/>
          <w:szCs w:val="24"/>
          <w:u w:val="single"/>
          <w:lang w:eastAsia="zh-TW"/>
        </w:rPr>
        <w:t>有效</w:t>
      </w:r>
      <w:r w:rsidRPr="008E7939">
        <w:rPr>
          <w:rFonts w:eastAsia="標楷體" w:hint="eastAsia"/>
          <w:szCs w:val="24"/>
          <w:u w:val="single"/>
          <w:lang w:eastAsia="zh-TW"/>
        </w:rPr>
        <w:t>名目本金</w:t>
      </w:r>
      <w:r w:rsidR="00483269" w:rsidRPr="008E7939">
        <w:rPr>
          <w:rStyle w:val="a8"/>
          <w:rFonts w:eastAsia="標楷體"/>
          <w:szCs w:val="24"/>
          <w:u w:val="single"/>
          <w:lang w:eastAsia="zh-TW"/>
        </w:rPr>
        <w:footnoteReference w:id="5"/>
      </w:r>
      <w:r w:rsidRPr="008E7939">
        <w:rPr>
          <w:rFonts w:eastAsia="標楷體" w:hint="eastAsia"/>
          <w:szCs w:val="24"/>
          <w:u w:val="single"/>
          <w:lang w:eastAsia="zh-TW"/>
        </w:rPr>
        <w:t>。</w:t>
      </w:r>
    </w:p>
    <w:p w:rsidR="004312AA" w:rsidRPr="008E7939" w:rsidRDefault="004312AA" w:rsidP="00CD262A">
      <w:pPr>
        <w:pStyle w:val="a9"/>
        <w:autoSpaceDE w:val="0"/>
        <w:autoSpaceDN w:val="0"/>
        <w:adjustRightInd w:val="0"/>
        <w:spacing w:after="0" w:line="440" w:lineRule="exact"/>
        <w:ind w:leftChars="300" w:left="1008" w:hangingChars="120" w:hanging="288"/>
        <w:jc w:val="both"/>
        <w:rPr>
          <w:rFonts w:eastAsia="標楷體"/>
          <w:szCs w:val="24"/>
          <w:u w:val="single"/>
          <w:lang w:eastAsia="zh-TW"/>
        </w:rPr>
      </w:pPr>
      <w:r w:rsidRPr="008E7939">
        <w:rPr>
          <w:rFonts w:eastAsia="標楷體" w:hint="eastAsia"/>
          <w:szCs w:val="24"/>
          <w:u w:val="single"/>
          <w:lang w:eastAsia="zh-TW"/>
        </w:rPr>
        <w:t>(3)</w:t>
      </w:r>
      <w:r w:rsidR="00EF15DE" w:rsidRPr="008E7939">
        <w:rPr>
          <w:rFonts w:ascii="標楷體" w:eastAsia="標楷體" w:hAnsi="標楷體" w:hint="eastAsia"/>
          <w:szCs w:val="24"/>
          <w:u w:val="single"/>
          <w:lang w:eastAsia="zh-TW"/>
        </w:rPr>
        <w:t>如</w:t>
      </w:r>
      <w:r w:rsidR="00EF15DE" w:rsidRPr="008E7939">
        <w:rPr>
          <w:rFonts w:ascii="標楷體" w:eastAsia="標楷體" w:hAnsi="標楷體"/>
          <w:szCs w:val="24"/>
          <w:u w:val="single"/>
          <w:lang w:eastAsia="zh-TW"/>
        </w:rPr>
        <w:t>承買同一</w:t>
      </w:r>
      <w:r w:rsidR="00EF15DE" w:rsidRPr="008E7939">
        <w:rPr>
          <w:rFonts w:ascii="標楷體" w:eastAsia="標楷體" w:hAnsi="標楷體" w:hint="eastAsia"/>
          <w:szCs w:val="24"/>
          <w:u w:val="single"/>
          <w:lang w:eastAsia="zh-TW"/>
        </w:rPr>
        <w:t>標的信用資產之</w:t>
      </w:r>
      <w:r w:rsidR="00EF15DE" w:rsidRPr="008E7939">
        <w:rPr>
          <w:rFonts w:ascii="標楷體" w:eastAsia="標楷體" w:hAnsi="標楷體"/>
          <w:szCs w:val="24"/>
          <w:u w:val="single"/>
          <w:lang w:eastAsia="zh-TW"/>
        </w:rPr>
        <w:t>信用保障，</w:t>
      </w:r>
      <w:r w:rsidRPr="008E7939">
        <w:rPr>
          <w:rFonts w:eastAsia="標楷體" w:hint="eastAsia"/>
          <w:szCs w:val="24"/>
          <w:u w:val="single"/>
          <w:lang w:eastAsia="zh-TW"/>
        </w:rPr>
        <w:t>且符合下列條件下，</w:t>
      </w:r>
      <w:r w:rsidRPr="008E7939">
        <w:rPr>
          <w:rFonts w:eastAsia="標楷體"/>
          <w:szCs w:val="24"/>
          <w:u w:val="single"/>
          <w:lang w:eastAsia="zh-TW"/>
        </w:rPr>
        <w:t>則可進一步減少名目本金</w:t>
      </w:r>
      <w:r w:rsidRPr="008E7939">
        <w:rPr>
          <w:rFonts w:eastAsia="標楷體" w:hint="eastAsia"/>
          <w:szCs w:val="24"/>
          <w:u w:val="single"/>
          <w:lang w:eastAsia="zh-TW"/>
        </w:rPr>
        <w:t>的</w:t>
      </w:r>
      <w:r w:rsidRPr="008E7939">
        <w:rPr>
          <w:rFonts w:eastAsia="標楷體"/>
          <w:szCs w:val="24"/>
          <w:u w:val="single"/>
          <w:lang w:eastAsia="zh-TW"/>
        </w:rPr>
        <w:t>金額</w:t>
      </w:r>
      <w:r w:rsidRPr="008E7939">
        <w:rPr>
          <w:rFonts w:eastAsia="標楷體" w:hint="eastAsia"/>
          <w:szCs w:val="24"/>
          <w:u w:val="single"/>
          <w:lang w:eastAsia="zh-TW"/>
        </w:rPr>
        <w:t>:</w:t>
      </w:r>
    </w:p>
    <w:p w:rsidR="004312AA" w:rsidRPr="008E7939" w:rsidRDefault="004312AA" w:rsidP="00CD262A">
      <w:pPr>
        <w:pStyle w:val="a9"/>
        <w:autoSpaceDE w:val="0"/>
        <w:autoSpaceDN w:val="0"/>
        <w:adjustRightInd w:val="0"/>
        <w:spacing w:after="0" w:line="440" w:lineRule="exact"/>
        <w:ind w:leftChars="430" w:left="1272" w:hangingChars="100" w:hanging="240"/>
        <w:jc w:val="both"/>
        <w:rPr>
          <w:rFonts w:eastAsia="標楷體"/>
          <w:szCs w:val="24"/>
          <w:u w:val="single"/>
          <w:lang w:eastAsia="zh-TW"/>
        </w:rPr>
      </w:pPr>
      <w:r w:rsidRPr="008E7939">
        <w:rPr>
          <w:rFonts w:eastAsia="標楷體" w:hint="eastAsia"/>
          <w:szCs w:val="24"/>
          <w:u w:val="single"/>
          <w:lang w:eastAsia="zh-TW"/>
        </w:rPr>
        <w:t>A.</w:t>
      </w:r>
      <w:r w:rsidRPr="008E7939">
        <w:rPr>
          <w:rFonts w:eastAsia="標楷體" w:hint="eastAsia"/>
          <w:szCs w:val="24"/>
          <w:u w:val="single"/>
          <w:lang w:eastAsia="zh-TW"/>
        </w:rPr>
        <w:t>銀行承買</w:t>
      </w:r>
      <w:r w:rsidRPr="008E7939">
        <w:rPr>
          <w:rFonts w:eastAsia="標楷體"/>
          <w:szCs w:val="24"/>
          <w:u w:val="single"/>
          <w:lang w:eastAsia="zh-TW"/>
        </w:rPr>
        <w:t>單一</w:t>
      </w:r>
      <w:r w:rsidRPr="008E7939">
        <w:rPr>
          <w:rFonts w:eastAsia="標楷體" w:hint="eastAsia"/>
          <w:szCs w:val="24"/>
          <w:u w:val="single"/>
          <w:lang w:eastAsia="zh-TW"/>
        </w:rPr>
        <w:t>標的信用保障合約之信用標的，其受償順位</w:t>
      </w:r>
      <w:r w:rsidRPr="008E7939">
        <w:rPr>
          <w:rFonts w:eastAsia="標楷體" w:hAnsi="標楷體"/>
          <w:szCs w:val="24"/>
          <w:u w:val="single"/>
          <w:lang w:eastAsia="zh-TW"/>
        </w:rPr>
        <w:t>不優於</w:t>
      </w:r>
      <w:r w:rsidRPr="008E7939">
        <w:rPr>
          <w:rFonts w:ascii="Segoe UI" w:eastAsia="標楷體" w:hAnsi="Segoe UI" w:cs="Segoe UI" w:hint="eastAsia"/>
          <w:szCs w:val="24"/>
          <w:u w:val="single"/>
          <w:lang w:eastAsia="zh-TW"/>
        </w:rPr>
        <w:t>提供保障之信用衍生性金融商品</w:t>
      </w:r>
      <w:r w:rsidRPr="008E7939">
        <w:rPr>
          <w:rFonts w:eastAsia="標楷體" w:hAnsi="標楷體" w:hint="eastAsia"/>
          <w:szCs w:val="24"/>
          <w:u w:val="single"/>
          <w:lang w:eastAsia="zh-TW"/>
        </w:rPr>
        <w:t>合約之信用標的</w:t>
      </w:r>
      <w:r w:rsidRPr="008E7939">
        <w:rPr>
          <w:rFonts w:ascii="標楷體" w:eastAsia="標楷體" w:hAnsi="標楷體" w:hint="eastAsia"/>
          <w:szCs w:val="24"/>
          <w:u w:val="single"/>
          <w:lang w:eastAsia="zh-TW"/>
        </w:rPr>
        <w:t>，</w:t>
      </w:r>
      <w:r w:rsidRPr="008E7939">
        <w:rPr>
          <w:rFonts w:eastAsia="標楷體" w:hint="eastAsia"/>
          <w:szCs w:val="24"/>
          <w:u w:val="single"/>
          <w:lang w:eastAsia="zh-TW"/>
        </w:rPr>
        <w:t>且承買信用保障之剩餘期間不短於提供保障之剩餘期間。</w:t>
      </w:r>
    </w:p>
    <w:p w:rsidR="004312AA" w:rsidRPr="008E7939" w:rsidRDefault="004312AA" w:rsidP="006656CF">
      <w:pPr>
        <w:pStyle w:val="a9"/>
        <w:autoSpaceDE w:val="0"/>
        <w:autoSpaceDN w:val="0"/>
        <w:adjustRightInd w:val="0"/>
        <w:spacing w:after="0" w:line="440" w:lineRule="exact"/>
        <w:ind w:leftChars="430" w:left="1272" w:hangingChars="100" w:hanging="240"/>
        <w:jc w:val="both"/>
        <w:rPr>
          <w:rFonts w:eastAsia="標楷體"/>
          <w:szCs w:val="24"/>
          <w:u w:val="single"/>
          <w:lang w:eastAsia="zh-TW"/>
        </w:rPr>
      </w:pPr>
      <w:r w:rsidRPr="008E7939">
        <w:rPr>
          <w:rFonts w:eastAsia="標楷體" w:hint="eastAsia"/>
          <w:szCs w:val="24"/>
          <w:u w:val="single"/>
          <w:lang w:eastAsia="zh-TW"/>
        </w:rPr>
        <w:t>B.</w:t>
      </w:r>
      <w:r w:rsidRPr="008E7939">
        <w:rPr>
          <w:rFonts w:eastAsia="標楷體" w:hint="eastAsia"/>
          <w:szCs w:val="24"/>
          <w:u w:val="single"/>
          <w:lang w:eastAsia="zh-TW"/>
        </w:rPr>
        <w:t>若承買</w:t>
      </w:r>
      <w:proofErr w:type="gramStart"/>
      <w:r w:rsidRPr="008E7939">
        <w:rPr>
          <w:rFonts w:eastAsia="標楷體" w:hint="eastAsia"/>
          <w:szCs w:val="24"/>
          <w:u w:val="single"/>
          <w:lang w:eastAsia="zh-TW"/>
        </w:rPr>
        <w:t>一</w:t>
      </w:r>
      <w:proofErr w:type="gramEnd"/>
      <w:r w:rsidRPr="008E7939">
        <w:rPr>
          <w:rFonts w:eastAsia="標楷體" w:hint="eastAsia"/>
          <w:szCs w:val="24"/>
          <w:u w:val="single"/>
          <w:lang w:eastAsia="zh-TW"/>
        </w:rPr>
        <w:t>籃子標的信用資產之信用保障，只有在經濟實質上等同於各自承買所有標的信用資產之信用保障時，始可抵銷信用保障之提供。</w:t>
      </w:r>
    </w:p>
    <w:p w:rsidR="007E5072" w:rsidRPr="008E7939" w:rsidRDefault="004312AA" w:rsidP="00FE6FEB">
      <w:pPr>
        <w:spacing w:line="440" w:lineRule="exact"/>
        <w:ind w:leftChars="430" w:left="1272" w:hangingChars="100" w:hanging="240"/>
        <w:jc w:val="both"/>
      </w:pPr>
      <w:r w:rsidRPr="008E7939">
        <w:rPr>
          <w:rFonts w:eastAsia="標楷體" w:hint="eastAsia"/>
          <w:u w:val="single"/>
        </w:rPr>
        <w:t>C.</w:t>
      </w:r>
      <w:r w:rsidRPr="008E7939">
        <w:rPr>
          <w:rFonts w:eastAsia="標楷體" w:hint="eastAsia"/>
          <w:u w:val="single"/>
        </w:rPr>
        <w:t>對於分</w:t>
      </w:r>
      <w:proofErr w:type="gramStart"/>
      <w:r w:rsidRPr="008E7939">
        <w:rPr>
          <w:rFonts w:eastAsia="標楷體" w:hint="eastAsia"/>
          <w:u w:val="single"/>
        </w:rPr>
        <w:t>券</w:t>
      </w:r>
      <w:proofErr w:type="gramEnd"/>
      <w:r w:rsidRPr="008E7939">
        <w:rPr>
          <w:rFonts w:eastAsia="標楷體" w:hint="eastAsia"/>
          <w:u w:val="single"/>
        </w:rPr>
        <w:t>之商品</w:t>
      </w:r>
      <w:r w:rsidRPr="008E7939">
        <w:rPr>
          <w:rFonts w:eastAsia="標楷體" w:hint="eastAsia"/>
          <w:u w:val="single"/>
        </w:rPr>
        <w:t>(</w:t>
      </w:r>
      <w:proofErr w:type="spellStart"/>
      <w:r w:rsidRPr="008E7939">
        <w:rPr>
          <w:rFonts w:eastAsia="標楷體" w:hint="eastAsia"/>
          <w:u w:val="single"/>
        </w:rPr>
        <w:t>tranched</w:t>
      </w:r>
      <w:proofErr w:type="spellEnd"/>
      <w:r w:rsidRPr="008E7939">
        <w:rPr>
          <w:rFonts w:eastAsia="標楷體" w:hint="eastAsia"/>
          <w:u w:val="single"/>
        </w:rPr>
        <w:t xml:space="preserve"> products)</w:t>
      </w:r>
      <w:r w:rsidRPr="008E7939">
        <w:rPr>
          <w:rFonts w:eastAsia="標楷體" w:hint="eastAsia"/>
          <w:u w:val="single"/>
        </w:rPr>
        <w:t>，信用保障之承買必須在合約信用標的上具有相同之求償順位</w:t>
      </w:r>
      <w:r w:rsidRPr="008E7939">
        <w:rPr>
          <w:rFonts w:eastAsia="標楷體" w:hint="eastAsia"/>
          <w:u w:val="single"/>
        </w:rPr>
        <w:t>(seniority)</w:t>
      </w:r>
      <w:r w:rsidRPr="008E7939">
        <w:rPr>
          <w:rFonts w:eastAsia="標楷體" w:hint="eastAsia"/>
          <w:u w:val="single"/>
        </w:rPr>
        <w:t>。</w:t>
      </w:r>
    </w:p>
    <w:p w:rsidR="008454F9" w:rsidRPr="008E7939" w:rsidRDefault="007E5072" w:rsidP="00274DDF">
      <w:pPr>
        <w:spacing w:line="440" w:lineRule="exact"/>
        <w:ind w:left="360" w:hangingChars="150" w:hanging="360"/>
        <w:jc w:val="both"/>
        <w:rPr>
          <w:u w:val="single"/>
        </w:rPr>
      </w:pPr>
      <w:r w:rsidRPr="008E7939">
        <w:rPr>
          <w:rFonts w:eastAsia="標楷體" w:hint="eastAsia"/>
        </w:rPr>
        <w:t xml:space="preserve"> </w:t>
      </w:r>
      <w:r w:rsidR="008454F9" w:rsidRPr="008E7939">
        <w:rPr>
          <w:rFonts w:eastAsia="標楷體" w:hint="eastAsia"/>
        </w:rPr>
        <w:t>(</w:t>
      </w:r>
      <w:r w:rsidR="008454F9" w:rsidRPr="008E7939">
        <w:rPr>
          <w:rFonts w:eastAsia="標楷體" w:hint="eastAsia"/>
          <w:u w:val="single"/>
        </w:rPr>
        <w:t>四</w:t>
      </w:r>
      <w:r w:rsidR="008454F9" w:rsidRPr="008E7939">
        <w:rPr>
          <w:rFonts w:eastAsia="標楷體" w:hint="eastAsia"/>
        </w:rPr>
        <w:t>)</w:t>
      </w:r>
      <w:r w:rsidR="008454F9" w:rsidRPr="008E7939">
        <w:rPr>
          <w:rFonts w:eastAsia="標楷體"/>
        </w:rPr>
        <w:t xml:space="preserve"> </w:t>
      </w:r>
      <w:r w:rsidR="008454F9" w:rsidRPr="008E7939">
        <w:rPr>
          <w:rFonts w:eastAsia="標楷體"/>
          <w:u w:val="single"/>
        </w:rPr>
        <w:t>有價證券融資交易</w:t>
      </w:r>
      <w:r w:rsidR="008454F9" w:rsidRPr="008E7939">
        <w:rPr>
          <w:rFonts w:eastAsia="標楷體"/>
          <w:u w:val="single"/>
        </w:rPr>
        <w:t>(SFT)</w:t>
      </w:r>
      <w:r w:rsidR="008454F9" w:rsidRPr="008E7939">
        <w:rPr>
          <w:rFonts w:eastAsia="標楷體" w:hint="eastAsia"/>
          <w:u w:val="single"/>
        </w:rPr>
        <w:t>暴險</w:t>
      </w:r>
    </w:p>
    <w:p w:rsidR="008454F9" w:rsidRPr="008E7939" w:rsidRDefault="006656CF" w:rsidP="00274DDF">
      <w:pPr>
        <w:spacing w:line="440" w:lineRule="exact"/>
        <w:ind w:left="720" w:hanging="238"/>
        <w:jc w:val="both"/>
        <w:rPr>
          <w:rFonts w:eastAsia="標楷體"/>
        </w:rPr>
      </w:pPr>
      <w:r w:rsidRPr="008E7939">
        <w:rPr>
          <w:rFonts w:eastAsia="標楷體" w:hint="eastAsia"/>
        </w:rPr>
        <w:t>1.</w:t>
      </w:r>
      <w:r w:rsidR="008454F9" w:rsidRPr="008E7939">
        <w:rPr>
          <w:rFonts w:eastAsia="標楷體" w:hint="eastAsia"/>
          <w:u w:val="single"/>
        </w:rPr>
        <w:t>有價證券融資交易係指如附買回交易、附賣回交易、有價證券借出與借入、證券信用交易等交易，其交易之價值取決於標的物市場價值，且通常受保證金協議之約束。</w:t>
      </w:r>
    </w:p>
    <w:p w:rsidR="008454F9" w:rsidRPr="008E7939" w:rsidRDefault="006656CF" w:rsidP="00274DDF">
      <w:pPr>
        <w:spacing w:line="440" w:lineRule="exact"/>
        <w:ind w:left="720" w:hanging="238"/>
        <w:jc w:val="both"/>
        <w:rPr>
          <w:rFonts w:ascii="標楷體" w:eastAsia="標楷體" w:hAnsi="標楷體"/>
        </w:rPr>
      </w:pPr>
      <w:r w:rsidRPr="008E7939">
        <w:rPr>
          <w:rFonts w:ascii="標楷體" w:eastAsia="標楷體" w:hAnsi="標楷體" w:hint="eastAsia"/>
        </w:rPr>
        <w:t>2.</w:t>
      </w:r>
      <w:r w:rsidR="008454F9" w:rsidRPr="008E7939">
        <w:rPr>
          <w:rFonts w:ascii="標楷體" w:eastAsia="標楷體" w:hAnsi="標楷體" w:hint="eastAsia"/>
          <w:u w:val="single"/>
        </w:rPr>
        <w:t>當</w:t>
      </w:r>
      <w:r w:rsidR="008454F9" w:rsidRPr="008E7939">
        <w:rPr>
          <w:rFonts w:ascii="標楷體" w:eastAsia="標楷體" w:hAnsi="標楷體"/>
          <w:u w:val="single"/>
        </w:rPr>
        <w:t>銀行為交易主體</w:t>
      </w:r>
      <w:r w:rsidR="008454F9" w:rsidRPr="008E7939">
        <w:rPr>
          <w:rFonts w:ascii="標楷體" w:eastAsia="標楷體" w:hAnsi="標楷體" w:hint="eastAsia"/>
          <w:u w:val="single"/>
        </w:rPr>
        <w:t>時，</w:t>
      </w:r>
      <w:r w:rsidR="008454F9" w:rsidRPr="008E7939">
        <w:rPr>
          <w:rFonts w:eastAsia="標楷體"/>
          <w:u w:val="single"/>
        </w:rPr>
        <w:t>有價證券融資</w:t>
      </w:r>
      <w:proofErr w:type="gramStart"/>
      <w:r w:rsidR="008454F9" w:rsidRPr="008E7939">
        <w:rPr>
          <w:rFonts w:eastAsia="標楷體"/>
          <w:u w:val="single"/>
        </w:rPr>
        <w:t>交易暴險</w:t>
      </w:r>
      <w:r w:rsidR="008454F9" w:rsidRPr="008E7939">
        <w:rPr>
          <w:rFonts w:eastAsia="標楷體" w:hint="eastAsia"/>
          <w:u w:val="single"/>
        </w:rPr>
        <w:t>之</w:t>
      </w:r>
      <w:proofErr w:type="gramEnd"/>
      <w:r w:rsidR="008454F9" w:rsidRPr="008E7939">
        <w:rPr>
          <w:rFonts w:eastAsia="標楷體" w:hint="eastAsia"/>
          <w:u w:val="single"/>
        </w:rPr>
        <w:t>計算應包含有價證券融資交易之表</w:t>
      </w:r>
      <w:proofErr w:type="gramStart"/>
      <w:r w:rsidR="008454F9" w:rsidRPr="008E7939">
        <w:rPr>
          <w:rFonts w:eastAsia="標楷體" w:hint="eastAsia"/>
          <w:u w:val="single"/>
        </w:rPr>
        <w:t>內暴險及</w:t>
      </w:r>
      <w:proofErr w:type="gramEnd"/>
      <w:r w:rsidR="008454F9" w:rsidRPr="008E7939">
        <w:rPr>
          <w:rFonts w:eastAsia="標楷體" w:hint="eastAsia"/>
          <w:u w:val="single"/>
        </w:rPr>
        <w:t>交易對手信用風險，說明如下</w:t>
      </w:r>
      <w:r w:rsidR="008454F9" w:rsidRPr="008E7939">
        <w:rPr>
          <w:rFonts w:ascii="標楷體" w:eastAsia="標楷體" w:hAnsi="標楷體" w:hint="eastAsia"/>
          <w:u w:val="single"/>
        </w:rPr>
        <w:t>：</w:t>
      </w:r>
    </w:p>
    <w:p w:rsidR="008454F9" w:rsidRPr="008E7939" w:rsidRDefault="008454F9" w:rsidP="00CD262A">
      <w:pPr>
        <w:spacing w:line="440" w:lineRule="exact"/>
        <w:ind w:leftChars="300" w:left="1008" w:hangingChars="120" w:hanging="288"/>
        <w:jc w:val="both"/>
        <w:rPr>
          <w:rFonts w:eastAsia="標楷體"/>
          <w:strike/>
        </w:rPr>
      </w:pPr>
      <w:r w:rsidRPr="008E7939">
        <w:rPr>
          <w:rFonts w:eastAsia="標楷體" w:hint="eastAsia"/>
          <w:u w:val="single"/>
        </w:rPr>
        <w:lastRenderedPageBreak/>
        <w:t>(1)</w:t>
      </w:r>
      <w:r w:rsidRPr="008E7939">
        <w:rPr>
          <w:rFonts w:eastAsia="標楷體" w:hint="eastAsia"/>
          <w:u w:val="single"/>
        </w:rPr>
        <w:t>有價證券融資交易表內</w:t>
      </w:r>
      <w:proofErr w:type="gramStart"/>
      <w:r w:rsidRPr="008E7939">
        <w:rPr>
          <w:rFonts w:eastAsia="標楷體" w:hint="eastAsia"/>
          <w:u w:val="single"/>
        </w:rPr>
        <w:t>暴險係</w:t>
      </w:r>
      <w:proofErr w:type="gramEnd"/>
      <w:r w:rsidRPr="008E7939">
        <w:rPr>
          <w:rFonts w:eastAsia="標楷體" w:hint="eastAsia"/>
          <w:u w:val="single"/>
        </w:rPr>
        <w:t>依會計原則認列之有價證券融資交易資產毛額</w:t>
      </w:r>
      <w:r w:rsidRPr="008E7939">
        <w:rPr>
          <w:rFonts w:eastAsia="標楷體" w:hint="eastAsia"/>
          <w:u w:val="single"/>
        </w:rPr>
        <w:t>(</w:t>
      </w:r>
      <w:r w:rsidRPr="008E7939">
        <w:rPr>
          <w:rFonts w:eastAsia="標楷體" w:hint="eastAsia"/>
          <w:u w:val="single"/>
        </w:rPr>
        <w:t>即會計上未認</w:t>
      </w:r>
      <w:proofErr w:type="gramStart"/>
      <w:r w:rsidRPr="008E7939">
        <w:rPr>
          <w:rFonts w:eastAsia="標楷體" w:hint="eastAsia"/>
          <w:u w:val="single"/>
        </w:rPr>
        <w:t>列互抵者</w:t>
      </w:r>
      <w:proofErr w:type="gramEnd"/>
      <w:r w:rsidRPr="008E7939">
        <w:rPr>
          <w:rFonts w:eastAsia="標楷體" w:hint="eastAsia"/>
          <w:u w:val="single"/>
        </w:rPr>
        <w:t>)</w:t>
      </w:r>
      <w:r w:rsidRPr="008E7939">
        <w:rPr>
          <w:rFonts w:ascii="標楷體" w:eastAsia="標楷體" w:hAnsi="標楷體" w:hint="eastAsia"/>
          <w:u w:val="single"/>
        </w:rPr>
        <w:t>。</w:t>
      </w:r>
      <w:r w:rsidRPr="008E7939">
        <w:rPr>
          <w:rFonts w:eastAsia="標楷體" w:hint="eastAsia"/>
          <w:u w:val="single"/>
        </w:rPr>
        <w:t>對同一交易對手進行有價證券融資交易所產生之應收及應付現金，若同時符合下述條件，可</w:t>
      </w:r>
      <w:proofErr w:type="gramStart"/>
      <w:r w:rsidRPr="008E7939">
        <w:rPr>
          <w:rFonts w:eastAsia="標楷體" w:hint="eastAsia"/>
          <w:u w:val="single"/>
        </w:rPr>
        <w:t>採</w:t>
      </w:r>
      <w:proofErr w:type="gramEnd"/>
      <w:r w:rsidRPr="008E7939">
        <w:rPr>
          <w:rFonts w:eastAsia="標楷體" w:hint="eastAsia"/>
          <w:u w:val="single"/>
        </w:rPr>
        <w:t>淨額計入：</w:t>
      </w:r>
    </w:p>
    <w:p w:rsidR="008454F9" w:rsidRPr="008E7939" w:rsidRDefault="008454F9" w:rsidP="00232AF8">
      <w:pPr>
        <w:spacing w:line="440" w:lineRule="exact"/>
        <w:ind w:leftChars="430" w:left="1272" w:hangingChars="100" w:hanging="240"/>
        <w:jc w:val="both"/>
        <w:rPr>
          <w:rFonts w:eastAsia="標楷體"/>
          <w:u w:val="single"/>
        </w:rPr>
      </w:pPr>
      <w:r w:rsidRPr="008E7939">
        <w:rPr>
          <w:rFonts w:eastAsia="標楷體" w:hint="eastAsia"/>
          <w:u w:val="single"/>
        </w:rPr>
        <w:t>A.</w:t>
      </w:r>
      <w:r w:rsidRPr="008E7939">
        <w:rPr>
          <w:rFonts w:eastAsia="標楷體" w:hint="eastAsia"/>
          <w:u w:val="single"/>
        </w:rPr>
        <w:t>相關交易之最終交割日相同；</w:t>
      </w:r>
    </w:p>
    <w:p w:rsidR="008454F9" w:rsidRPr="008E7939" w:rsidRDefault="008454F9" w:rsidP="00232AF8">
      <w:pPr>
        <w:spacing w:line="440" w:lineRule="exact"/>
        <w:ind w:leftChars="430" w:left="1272" w:hangingChars="100" w:hanging="240"/>
        <w:jc w:val="both"/>
        <w:rPr>
          <w:rFonts w:eastAsia="標楷體"/>
          <w:u w:val="single"/>
        </w:rPr>
      </w:pPr>
      <w:r w:rsidRPr="008E7939">
        <w:rPr>
          <w:rFonts w:eastAsia="標楷體" w:hint="eastAsia"/>
          <w:u w:val="single"/>
        </w:rPr>
        <w:t>B.</w:t>
      </w:r>
      <w:r w:rsidRPr="008E7939">
        <w:rPr>
          <w:rFonts w:eastAsia="標楷體" w:hint="eastAsia"/>
          <w:u w:val="single"/>
        </w:rPr>
        <w:t>無論在正常營運或</w:t>
      </w:r>
      <w:r w:rsidRPr="008E7939">
        <w:rPr>
          <w:rFonts w:eastAsia="標楷體" w:hint="eastAsia"/>
          <w:u w:val="single"/>
        </w:rPr>
        <w:t>(a)</w:t>
      </w:r>
      <w:r w:rsidRPr="008E7939">
        <w:rPr>
          <w:rFonts w:eastAsia="標楷體" w:hint="eastAsia"/>
          <w:u w:val="single"/>
        </w:rPr>
        <w:t>信用違約；</w:t>
      </w:r>
      <w:r w:rsidRPr="008E7939">
        <w:rPr>
          <w:rFonts w:eastAsia="標楷體" w:hint="eastAsia"/>
          <w:u w:val="single"/>
        </w:rPr>
        <w:t>(b)</w:t>
      </w:r>
      <w:r w:rsidRPr="008E7939">
        <w:rPr>
          <w:rFonts w:eastAsia="標楷體" w:hint="eastAsia"/>
          <w:u w:val="single"/>
        </w:rPr>
        <w:t>無力清償；</w:t>
      </w:r>
      <w:r w:rsidRPr="008E7939">
        <w:rPr>
          <w:rFonts w:eastAsia="標楷體" w:hint="eastAsia"/>
          <w:u w:val="single"/>
        </w:rPr>
        <w:t>(c)</w:t>
      </w:r>
      <w:r w:rsidRPr="008E7939">
        <w:rPr>
          <w:rFonts w:eastAsia="標楷體" w:hint="eastAsia"/>
          <w:u w:val="single"/>
        </w:rPr>
        <w:t>破產等事件下，仍可依法執行現金收付；且</w:t>
      </w:r>
    </w:p>
    <w:p w:rsidR="008454F9" w:rsidRPr="008E7939" w:rsidRDefault="008454F9" w:rsidP="00232AF8">
      <w:pPr>
        <w:spacing w:line="440" w:lineRule="exact"/>
        <w:ind w:leftChars="430" w:left="1272" w:hangingChars="100" w:hanging="240"/>
        <w:jc w:val="both"/>
        <w:rPr>
          <w:rFonts w:eastAsia="標楷體"/>
          <w:u w:val="single"/>
        </w:rPr>
      </w:pPr>
      <w:r w:rsidRPr="008E7939">
        <w:rPr>
          <w:rFonts w:eastAsia="標楷體" w:hint="eastAsia"/>
          <w:u w:val="single"/>
        </w:rPr>
        <w:t>C.</w:t>
      </w:r>
      <w:r w:rsidRPr="008E7939">
        <w:rPr>
          <w:rFonts w:eastAsia="標楷體" w:hint="eastAsia"/>
          <w:u w:val="single"/>
        </w:rPr>
        <w:t>交易對手有淨額與同步交割之意願，或交易機制使交易性質實際上等同淨額交割</w:t>
      </w:r>
      <w:r w:rsidR="008566ED" w:rsidRPr="008E7939">
        <w:rPr>
          <w:rStyle w:val="a8"/>
          <w:rFonts w:eastAsia="標楷體"/>
          <w:u w:val="single"/>
        </w:rPr>
        <w:footnoteReference w:id="6"/>
      </w:r>
      <w:r w:rsidRPr="008E7939">
        <w:rPr>
          <w:rFonts w:eastAsia="標楷體" w:hint="eastAsia"/>
          <w:u w:val="single"/>
        </w:rPr>
        <w:t>，即交割日之現金流等同互抵後淨額。為達成該效果，相關交易需在同樣交割系統下交割，且交割之安排需有現金及</w:t>
      </w:r>
      <w:r w:rsidRPr="008E7939">
        <w:rPr>
          <w:rFonts w:eastAsia="標楷體" w:hint="eastAsia"/>
          <w:u w:val="single"/>
        </w:rPr>
        <w:t>/</w:t>
      </w:r>
      <w:r w:rsidRPr="008E7939">
        <w:rPr>
          <w:rFonts w:eastAsia="標楷體" w:hint="eastAsia"/>
          <w:u w:val="single"/>
        </w:rPr>
        <w:t>或日中信用措施之支持，以確保相關交易能在交易日</w:t>
      </w:r>
      <w:r w:rsidRPr="008E7939">
        <w:rPr>
          <w:rFonts w:eastAsia="標楷體" w:hint="eastAsia"/>
          <w:u w:val="single"/>
        </w:rPr>
        <w:t>(</w:t>
      </w:r>
      <w:r w:rsidRPr="008E7939">
        <w:rPr>
          <w:rFonts w:eastAsia="標楷體" w:hint="eastAsia"/>
          <w:u w:val="single"/>
        </w:rPr>
        <w:t>營業日終了前</w:t>
      </w:r>
      <w:r w:rsidRPr="008E7939">
        <w:rPr>
          <w:rFonts w:eastAsia="標楷體" w:hint="eastAsia"/>
          <w:u w:val="single"/>
        </w:rPr>
        <w:t>)</w:t>
      </w:r>
      <w:r w:rsidRPr="008E7939">
        <w:rPr>
          <w:rFonts w:eastAsia="標楷體" w:hint="eastAsia"/>
          <w:u w:val="single"/>
        </w:rPr>
        <w:t>順暢進行，</w:t>
      </w:r>
      <w:r w:rsidR="00BE277E" w:rsidRPr="008E7939">
        <w:rPr>
          <w:rFonts w:eastAsia="標楷體" w:hint="eastAsia"/>
          <w:u w:val="single"/>
        </w:rPr>
        <w:t>且個別交易違約不影響其他交易之淨額交割</w:t>
      </w:r>
      <w:r w:rsidRPr="008E7939">
        <w:rPr>
          <w:rFonts w:eastAsia="標楷體" w:hint="eastAsia"/>
          <w:u w:val="single"/>
        </w:rPr>
        <w:t>。</w:t>
      </w:r>
    </w:p>
    <w:p w:rsidR="008454F9" w:rsidRPr="008E7939" w:rsidRDefault="008454F9" w:rsidP="00CD262A">
      <w:pPr>
        <w:spacing w:line="440" w:lineRule="exact"/>
        <w:ind w:leftChars="300" w:left="1008" w:hangingChars="120" w:hanging="288"/>
        <w:jc w:val="both"/>
        <w:rPr>
          <w:rFonts w:eastAsia="標楷體"/>
          <w:u w:val="single"/>
        </w:rPr>
      </w:pPr>
      <w:r w:rsidRPr="008E7939">
        <w:rPr>
          <w:rFonts w:eastAsia="標楷體" w:hint="eastAsia"/>
          <w:u w:val="single"/>
        </w:rPr>
        <w:t>(2)</w:t>
      </w:r>
      <w:r w:rsidRPr="008E7939">
        <w:rPr>
          <w:rFonts w:eastAsia="標楷體" w:hint="eastAsia"/>
          <w:u w:val="single"/>
        </w:rPr>
        <w:t>有價證券融資交易之交易對手信用風險僅需考量當</w:t>
      </w:r>
      <w:proofErr w:type="gramStart"/>
      <w:r w:rsidRPr="008E7939">
        <w:rPr>
          <w:rFonts w:eastAsia="標楷體" w:hint="eastAsia"/>
          <w:u w:val="single"/>
        </w:rPr>
        <w:t>期暴險額</w:t>
      </w:r>
      <w:proofErr w:type="gramEnd"/>
      <w:r w:rsidRPr="008E7939">
        <w:rPr>
          <w:rFonts w:eastAsia="標楷體" w:hint="eastAsia"/>
          <w:u w:val="single"/>
        </w:rPr>
        <w:t>，計算如下：</w:t>
      </w:r>
    </w:p>
    <w:p w:rsidR="008454F9" w:rsidRPr="008E7939" w:rsidRDefault="008454F9" w:rsidP="00232AF8">
      <w:pPr>
        <w:spacing w:line="440" w:lineRule="exact"/>
        <w:ind w:leftChars="430" w:left="1272" w:hangingChars="100" w:hanging="240"/>
        <w:jc w:val="both"/>
        <w:rPr>
          <w:rFonts w:eastAsia="標楷體"/>
        </w:rPr>
      </w:pPr>
      <w:r w:rsidRPr="008E7939">
        <w:rPr>
          <w:rFonts w:eastAsia="標楷體" w:hint="eastAsia"/>
          <w:u w:val="single"/>
        </w:rPr>
        <w:t>A.</w:t>
      </w:r>
      <w:r w:rsidRPr="008E7939">
        <w:rPr>
          <w:rFonts w:eastAsia="標楷體" w:hint="eastAsia"/>
          <w:u w:val="single"/>
        </w:rPr>
        <w:t>若有「合格」淨額結算合約</w:t>
      </w:r>
      <w:r w:rsidR="00431092" w:rsidRPr="008E7939">
        <w:rPr>
          <w:rStyle w:val="a8"/>
          <w:rFonts w:eastAsia="標楷體"/>
          <w:b/>
          <w:u w:val="single"/>
        </w:rPr>
        <w:footnoteReference w:id="7"/>
      </w:r>
      <w:r w:rsidRPr="008E7939">
        <w:rPr>
          <w:rFonts w:eastAsia="標楷體" w:hint="eastAsia"/>
          <w:u w:val="single"/>
        </w:rPr>
        <w:t>，當</w:t>
      </w:r>
      <w:proofErr w:type="gramStart"/>
      <w:r w:rsidRPr="008E7939">
        <w:rPr>
          <w:rFonts w:eastAsia="標楷體" w:hint="eastAsia"/>
          <w:u w:val="single"/>
        </w:rPr>
        <w:t>期暴險額</w:t>
      </w:r>
      <w:proofErr w:type="gramEnd"/>
      <w:r w:rsidRPr="008E7939">
        <w:rPr>
          <w:rFonts w:eastAsia="標楷體" w:hint="eastAsia"/>
          <w:u w:val="single"/>
        </w:rPr>
        <w:t xml:space="preserve"> (E*) </w:t>
      </w:r>
      <w:r w:rsidRPr="008E7939">
        <w:rPr>
          <w:rFonts w:eastAsia="標楷體" w:hint="eastAsia"/>
          <w:u w:val="single"/>
        </w:rPr>
        <w:t>為零和</w:t>
      </w:r>
      <w:proofErr w:type="gramStart"/>
      <w:r w:rsidRPr="008E7939">
        <w:rPr>
          <w:rFonts w:eastAsia="標楷體" w:hint="eastAsia"/>
          <w:u w:val="single"/>
        </w:rPr>
        <w:t>借出予交易</w:t>
      </w:r>
      <w:proofErr w:type="gramEnd"/>
      <w:r w:rsidRPr="008E7939">
        <w:rPr>
          <w:rFonts w:eastAsia="標楷體" w:hint="eastAsia"/>
          <w:u w:val="single"/>
        </w:rPr>
        <w:t>對手之有價證券與現金之總公平價值</w:t>
      </w:r>
      <w:r w:rsidRPr="008E7939">
        <w:rPr>
          <w:rFonts w:eastAsia="標楷體" w:hint="eastAsia"/>
          <w:u w:val="single"/>
        </w:rPr>
        <w:t>(</w:t>
      </w:r>
      <w:proofErr w:type="spellStart"/>
      <w:r w:rsidRPr="008E7939">
        <w:rPr>
          <w:rFonts w:eastAsia="標楷體"/>
          <w:u w:val="single"/>
        </w:rPr>
        <w:t>ΣEi</w:t>
      </w:r>
      <w:proofErr w:type="spellEnd"/>
      <w:r w:rsidRPr="008E7939">
        <w:rPr>
          <w:rFonts w:eastAsia="標楷體" w:hint="eastAsia"/>
          <w:u w:val="single"/>
        </w:rPr>
        <w:t>)</w:t>
      </w:r>
      <w:r w:rsidRPr="008E7939">
        <w:rPr>
          <w:rFonts w:eastAsia="標楷體" w:hint="eastAsia"/>
          <w:u w:val="single"/>
        </w:rPr>
        <w:t>扣除向交易對手借入有價證券與現金之總公平價值</w:t>
      </w:r>
      <w:r w:rsidRPr="008E7939">
        <w:rPr>
          <w:rFonts w:eastAsia="標楷體" w:hint="eastAsia"/>
          <w:u w:val="single"/>
        </w:rPr>
        <w:t>(</w:t>
      </w:r>
      <w:proofErr w:type="spellStart"/>
      <w:r w:rsidRPr="008E7939">
        <w:rPr>
          <w:rFonts w:eastAsia="標楷體"/>
          <w:u w:val="single"/>
        </w:rPr>
        <w:t>ΣCi</w:t>
      </w:r>
      <w:proofErr w:type="spellEnd"/>
      <w:r w:rsidRPr="008E7939">
        <w:rPr>
          <w:rFonts w:eastAsia="標楷體" w:hint="eastAsia"/>
          <w:u w:val="single"/>
        </w:rPr>
        <w:t>)</w:t>
      </w:r>
      <w:r w:rsidRPr="008E7939">
        <w:rPr>
          <w:rFonts w:eastAsia="標楷體" w:hint="eastAsia"/>
          <w:u w:val="single"/>
        </w:rPr>
        <w:t>，二者</w:t>
      </w:r>
      <w:proofErr w:type="gramStart"/>
      <w:r w:rsidRPr="008E7939">
        <w:rPr>
          <w:rFonts w:eastAsia="標楷體" w:hint="eastAsia"/>
          <w:u w:val="single"/>
        </w:rPr>
        <w:t>取孰大</w:t>
      </w:r>
      <w:proofErr w:type="gramEnd"/>
      <w:r w:rsidRPr="008E7939">
        <w:rPr>
          <w:rFonts w:eastAsia="標楷體" w:hint="eastAsia"/>
          <w:u w:val="single"/>
        </w:rPr>
        <w:t>者，公式為：</w:t>
      </w:r>
    </w:p>
    <w:p w:rsidR="008454F9" w:rsidRPr="008E7939" w:rsidRDefault="008454F9" w:rsidP="00761C62">
      <w:pPr>
        <w:spacing w:line="440" w:lineRule="exact"/>
        <w:ind w:left="958"/>
        <w:jc w:val="center"/>
        <w:rPr>
          <w:rFonts w:eastAsia="標楷體"/>
        </w:rPr>
      </w:pPr>
      <w:r w:rsidRPr="008E7939">
        <w:rPr>
          <w:rFonts w:eastAsia="標楷體"/>
        </w:rPr>
        <w:t>E* = max {0, [</w:t>
      </w:r>
      <w:proofErr w:type="spellStart"/>
      <w:r w:rsidRPr="008E7939">
        <w:rPr>
          <w:rFonts w:eastAsia="標楷體"/>
        </w:rPr>
        <w:t>ΣEi</w:t>
      </w:r>
      <w:proofErr w:type="spellEnd"/>
      <w:r w:rsidRPr="008E7939">
        <w:rPr>
          <w:rFonts w:eastAsia="標楷體"/>
        </w:rPr>
        <w:t xml:space="preserve"> – </w:t>
      </w:r>
      <w:proofErr w:type="spellStart"/>
      <w:r w:rsidRPr="008E7939">
        <w:rPr>
          <w:rFonts w:eastAsia="標楷體"/>
        </w:rPr>
        <w:t>ΣCi</w:t>
      </w:r>
      <w:proofErr w:type="spellEnd"/>
      <w:r w:rsidRPr="008E7939">
        <w:rPr>
          <w:rFonts w:eastAsia="標楷體"/>
        </w:rPr>
        <w:t>]}</w:t>
      </w:r>
    </w:p>
    <w:p w:rsidR="008454F9" w:rsidRPr="008E7939" w:rsidRDefault="008454F9" w:rsidP="00232AF8">
      <w:pPr>
        <w:spacing w:line="440" w:lineRule="exact"/>
        <w:ind w:leftChars="430" w:left="1272" w:hangingChars="100" w:hanging="240"/>
        <w:jc w:val="both"/>
        <w:rPr>
          <w:rFonts w:eastAsia="標楷體"/>
          <w:u w:val="single"/>
        </w:rPr>
      </w:pPr>
      <w:r w:rsidRPr="008E7939">
        <w:rPr>
          <w:rFonts w:eastAsia="標楷體" w:hint="eastAsia"/>
          <w:u w:val="single"/>
        </w:rPr>
        <w:t>B.</w:t>
      </w:r>
      <w:r w:rsidRPr="008E7939">
        <w:rPr>
          <w:rFonts w:eastAsia="標楷體" w:hint="eastAsia"/>
          <w:u w:val="single"/>
        </w:rPr>
        <w:t>若無合格淨額結算合約，各交易之當</w:t>
      </w:r>
      <w:proofErr w:type="gramStart"/>
      <w:r w:rsidRPr="008E7939">
        <w:rPr>
          <w:rFonts w:eastAsia="標楷體" w:hint="eastAsia"/>
          <w:u w:val="single"/>
        </w:rPr>
        <w:t>期暴險額需</w:t>
      </w:r>
      <w:proofErr w:type="gramEnd"/>
      <w:r w:rsidRPr="008E7939">
        <w:rPr>
          <w:rFonts w:eastAsia="標楷體" w:hint="eastAsia"/>
          <w:u w:val="single"/>
        </w:rPr>
        <w:t>分別計算，即各交易僅能被認定為自身的淨額交易組合（</w:t>
      </w:r>
      <w:r w:rsidRPr="008E7939">
        <w:rPr>
          <w:rFonts w:eastAsia="標楷體" w:hint="eastAsia"/>
          <w:u w:val="single"/>
        </w:rPr>
        <w:t>netting</w:t>
      </w:r>
      <w:r w:rsidR="00761C62" w:rsidRPr="008E7939">
        <w:rPr>
          <w:rFonts w:eastAsia="標楷體" w:hint="eastAsia"/>
          <w:u w:val="single"/>
        </w:rPr>
        <w:t xml:space="preserve"> </w:t>
      </w:r>
      <w:r w:rsidRPr="008E7939">
        <w:rPr>
          <w:rFonts w:eastAsia="標楷體" w:hint="eastAsia"/>
          <w:u w:val="single"/>
        </w:rPr>
        <w:t>set</w:t>
      </w:r>
      <w:r w:rsidRPr="008E7939">
        <w:rPr>
          <w:rFonts w:eastAsia="標楷體" w:hint="eastAsia"/>
          <w:u w:val="single"/>
        </w:rPr>
        <w:t>），公式為：</w:t>
      </w:r>
    </w:p>
    <w:p w:rsidR="008454F9" w:rsidRPr="008E7939" w:rsidRDefault="008454F9" w:rsidP="00232AF8">
      <w:pPr>
        <w:ind w:left="960"/>
        <w:jc w:val="center"/>
      </w:pPr>
      <w:proofErr w:type="spellStart"/>
      <w:r w:rsidRPr="008E7939">
        <w:rPr>
          <w:rFonts w:eastAsia="標楷體"/>
        </w:rPr>
        <w:t>Ei</w:t>
      </w:r>
      <w:proofErr w:type="spellEnd"/>
      <w:r w:rsidRPr="008E7939">
        <w:rPr>
          <w:rFonts w:eastAsia="標楷體"/>
        </w:rPr>
        <w:t>* = max {0, [</w:t>
      </w:r>
      <w:proofErr w:type="spellStart"/>
      <w:r w:rsidRPr="008E7939">
        <w:rPr>
          <w:rFonts w:eastAsia="標楷體"/>
        </w:rPr>
        <w:t>Ei</w:t>
      </w:r>
      <w:proofErr w:type="spellEnd"/>
      <w:r w:rsidRPr="008E7939">
        <w:rPr>
          <w:rFonts w:eastAsia="標楷體"/>
        </w:rPr>
        <w:t xml:space="preserve"> – Ci]}</w:t>
      </w:r>
    </w:p>
    <w:p w:rsidR="00B03863" w:rsidRPr="008E7939" w:rsidRDefault="00B03863" w:rsidP="00274DDF">
      <w:pPr>
        <w:spacing w:line="440" w:lineRule="exact"/>
        <w:ind w:left="360" w:hangingChars="150" w:hanging="360"/>
        <w:jc w:val="both"/>
        <w:rPr>
          <w:rFonts w:eastAsia="標楷體"/>
          <w:u w:val="single"/>
        </w:rPr>
      </w:pPr>
      <w:r w:rsidRPr="008E7939">
        <w:rPr>
          <w:rFonts w:eastAsia="標楷體" w:hint="eastAsia"/>
        </w:rPr>
        <w:t>(</w:t>
      </w:r>
      <w:r w:rsidRPr="008E7939">
        <w:rPr>
          <w:rFonts w:eastAsia="標楷體" w:hint="eastAsia"/>
          <w:strike/>
        </w:rPr>
        <w:t>三</w:t>
      </w:r>
      <w:r w:rsidR="001F04EA" w:rsidRPr="008E7939">
        <w:rPr>
          <w:rFonts w:eastAsia="標楷體" w:hint="eastAsia"/>
          <w:u w:val="single"/>
        </w:rPr>
        <w:t>五</w:t>
      </w:r>
      <w:r w:rsidRPr="008E7939">
        <w:rPr>
          <w:rFonts w:eastAsia="標楷體" w:hint="eastAsia"/>
        </w:rPr>
        <w:t>)</w:t>
      </w:r>
      <w:r w:rsidRPr="008E7939">
        <w:rPr>
          <w:rFonts w:eastAsia="標楷體" w:hint="eastAsia"/>
        </w:rPr>
        <w:t>資產負債表</w:t>
      </w:r>
      <w:r w:rsidR="00AD2FC1" w:rsidRPr="008E7939">
        <w:rPr>
          <w:rFonts w:eastAsia="標楷體" w:hint="eastAsia"/>
          <w:strike/>
        </w:rPr>
        <w:t>之</w:t>
      </w:r>
      <w:r w:rsidR="00AD2FC1" w:rsidRPr="008E7939">
        <w:rPr>
          <w:rFonts w:eastAsia="標楷體" w:hint="eastAsia"/>
        </w:rPr>
        <w:t>表</w:t>
      </w:r>
      <w:r w:rsidRPr="008E7939">
        <w:rPr>
          <w:rFonts w:eastAsia="標楷體" w:hint="eastAsia"/>
        </w:rPr>
        <w:t>外項目</w:t>
      </w:r>
      <w:r w:rsidR="001F04EA" w:rsidRPr="008E7939">
        <w:rPr>
          <w:rFonts w:eastAsia="標楷體" w:hint="eastAsia"/>
          <w:u w:val="single"/>
        </w:rPr>
        <w:t>暴險</w:t>
      </w:r>
    </w:p>
    <w:p w:rsidR="00825871" w:rsidRPr="008E7939" w:rsidRDefault="006656CF" w:rsidP="00274DDF">
      <w:pPr>
        <w:spacing w:line="440" w:lineRule="exact"/>
        <w:ind w:left="720" w:hanging="238"/>
        <w:jc w:val="both"/>
        <w:rPr>
          <w:rFonts w:eastAsia="標楷體"/>
        </w:rPr>
      </w:pPr>
      <w:r w:rsidRPr="008E7939">
        <w:rPr>
          <w:rFonts w:eastAsia="標楷體" w:hint="eastAsia"/>
        </w:rPr>
        <w:t>1.</w:t>
      </w:r>
      <w:r w:rsidR="001F04EA" w:rsidRPr="008E7939">
        <w:rPr>
          <w:rFonts w:eastAsia="標楷體" w:hint="eastAsia"/>
          <w:u w:val="single"/>
        </w:rPr>
        <w:t>銀行</w:t>
      </w:r>
      <w:r w:rsidR="002574C1" w:rsidRPr="008E7939">
        <w:rPr>
          <w:rFonts w:eastAsia="標楷體"/>
        </w:rPr>
        <w:t>應依據信用風險標準法中有關資產負債表</w:t>
      </w:r>
      <w:proofErr w:type="gramStart"/>
      <w:r w:rsidR="002574C1" w:rsidRPr="008E7939">
        <w:rPr>
          <w:rFonts w:eastAsia="標楷體"/>
        </w:rPr>
        <w:t>表</w:t>
      </w:r>
      <w:proofErr w:type="gramEnd"/>
      <w:r w:rsidR="002574C1" w:rsidRPr="008E7939">
        <w:rPr>
          <w:rFonts w:eastAsia="標楷體"/>
        </w:rPr>
        <w:t>外項目計提信用風險之方法，計算承諾</w:t>
      </w:r>
      <w:r w:rsidR="002574C1" w:rsidRPr="008E7939">
        <w:rPr>
          <w:rFonts w:eastAsia="標楷體"/>
        </w:rPr>
        <w:t>(</w:t>
      </w:r>
      <w:r w:rsidR="002574C1" w:rsidRPr="008E7939">
        <w:rPr>
          <w:rFonts w:eastAsia="標楷體"/>
        </w:rPr>
        <w:t>含流動性融資額度</w:t>
      </w:r>
      <w:r w:rsidR="002574C1" w:rsidRPr="008E7939">
        <w:rPr>
          <w:rFonts w:eastAsia="標楷體"/>
        </w:rPr>
        <w:t>)</w:t>
      </w:r>
      <w:r w:rsidR="002574C1" w:rsidRPr="008E7939">
        <w:rPr>
          <w:rFonts w:eastAsia="標楷體"/>
          <w:strike/>
        </w:rPr>
        <w:t>、無條件可取消之承諾</w:t>
      </w:r>
      <w:r w:rsidR="002574C1" w:rsidRPr="008E7939">
        <w:rPr>
          <w:rFonts w:eastAsia="標楷體"/>
        </w:rPr>
        <w:t>、直接信用替代</w:t>
      </w:r>
      <w:r w:rsidR="00810157" w:rsidRPr="008E7939">
        <w:rPr>
          <w:rFonts w:eastAsia="標楷體" w:hint="eastAsia"/>
        </w:rPr>
        <w:t>（</w:t>
      </w:r>
      <w:r w:rsidR="00810157" w:rsidRPr="008E7939">
        <w:rPr>
          <w:rFonts w:eastAsia="標楷體" w:hint="eastAsia"/>
        </w:rPr>
        <w:t>direct credit substitutes</w:t>
      </w:r>
      <w:r w:rsidR="00810157" w:rsidRPr="008E7939">
        <w:rPr>
          <w:rFonts w:eastAsia="標楷體" w:hint="eastAsia"/>
        </w:rPr>
        <w:t>）</w:t>
      </w:r>
      <w:r w:rsidR="002574C1" w:rsidRPr="008E7939">
        <w:rPr>
          <w:rFonts w:eastAsia="標楷體"/>
        </w:rPr>
        <w:t>、</w:t>
      </w:r>
      <w:r w:rsidR="002574C1" w:rsidRPr="008E7939">
        <w:rPr>
          <w:rFonts w:eastAsia="標楷體" w:hAnsi="Arial"/>
        </w:rPr>
        <w:t>承兌、</w:t>
      </w:r>
      <w:r w:rsidR="00810157" w:rsidRPr="008E7939">
        <w:rPr>
          <w:rFonts w:eastAsia="標楷體" w:hAnsi="Arial" w:hint="eastAsia"/>
        </w:rPr>
        <w:t>擔保</w:t>
      </w:r>
      <w:r w:rsidR="002574C1" w:rsidRPr="008E7939">
        <w:rPr>
          <w:rFonts w:eastAsia="標楷體" w:hAnsi="Arial"/>
        </w:rPr>
        <w:t>信用狀</w:t>
      </w:r>
      <w:r w:rsidR="002574C1" w:rsidRPr="008E7939">
        <w:rPr>
          <w:rFonts w:eastAsia="標楷體" w:hAnsi="Arial"/>
          <w:strike/>
        </w:rPr>
        <w:t>、</w:t>
      </w:r>
      <w:r w:rsidR="001F04EA" w:rsidRPr="008E7939">
        <w:rPr>
          <w:rFonts w:eastAsia="標楷體" w:hAnsi="Arial" w:hint="eastAsia"/>
          <w:u w:val="single"/>
        </w:rPr>
        <w:t>及</w:t>
      </w:r>
      <w:r w:rsidR="00810157" w:rsidRPr="008E7939">
        <w:rPr>
          <w:rFonts w:eastAsia="標楷體" w:hAnsi="Arial" w:hint="eastAsia"/>
        </w:rPr>
        <w:t>貿易信用狀</w:t>
      </w:r>
      <w:r w:rsidR="00810157" w:rsidRPr="008E7939">
        <w:rPr>
          <w:rFonts w:eastAsia="標楷體" w:hAnsi="Arial" w:hint="eastAsia"/>
          <w:strike/>
        </w:rPr>
        <w:t>、未按期交割（</w:t>
      </w:r>
      <w:r w:rsidR="00810157" w:rsidRPr="008E7939">
        <w:rPr>
          <w:rFonts w:eastAsia="標楷體" w:hAnsi="Arial" w:hint="eastAsia"/>
          <w:strike/>
        </w:rPr>
        <w:t>failed transactions</w:t>
      </w:r>
      <w:r w:rsidR="00810157" w:rsidRPr="008E7939">
        <w:rPr>
          <w:rFonts w:eastAsia="標楷體" w:hAnsi="Arial" w:hint="eastAsia"/>
          <w:strike/>
        </w:rPr>
        <w:t>）及</w:t>
      </w:r>
      <w:r w:rsidR="00825871" w:rsidRPr="008E7939">
        <w:rPr>
          <w:rFonts w:eastAsia="標楷體" w:hAnsi="Arial"/>
          <w:strike/>
        </w:rPr>
        <w:t>已</w:t>
      </w:r>
      <w:proofErr w:type="gramStart"/>
      <w:r w:rsidR="00825871" w:rsidRPr="008E7939">
        <w:rPr>
          <w:rFonts w:eastAsia="標楷體" w:hAnsi="Arial"/>
          <w:strike/>
        </w:rPr>
        <w:t>承作</w:t>
      </w:r>
      <w:proofErr w:type="gramEnd"/>
      <w:r w:rsidR="00825871" w:rsidRPr="008E7939">
        <w:rPr>
          <w:rFonts w:eastAsia="標楷體" w:hAnsi="Arial"/>
          <w:strike/>
        </w:rPr>
        <w:t>但尚未交割之證券</w:t>
      </w:r>
      <w:r w:rsidR="002574C1" w:rsidRPr="008E7939">
        <w:rPr>
          <w:rFonts w:eastAsia="標楷體" w:hAnsi="Arial"/>
        </w:rPr>
        <w:t>等表外項目</w:t>
      </w:r>
      <w:r w:rsidR="00825871" w:rsidRPr="008E7939">
        <w:rPr>
          <w:rFonts w:eastAsia="標楷體" w:hAnsi="Arial"/>
        </w:rPr>
        <w:t>之</w:t>
      </w:r>
      <w:proofErr w:type="gramStart"/>
      <w:r w:rsidR="00825871" w:rsidRPr="008E7939">
        <w:rPr>
          <w:rFonts w:eastAsia="標楷體" w:hAnsi="Arial"/>
        </w:rPr>
        <w:t>信用暴險相當</w:t>
      </w:r>
      <w:proofErr w:type="gramEnd"/>
      <w:r w:rsidR="00825871" w:rsidRPr="008E7939">
        <w:rPr>
          <w:rFonts w:eastAsia="標楷體" w:hAnsi="Arial"/>
        </w:rPr>
        <w:t>額</w:t>
      </w:r>
      <w:r w:rsidR="002574C1" w:rsidRPr="008E7939">
        <w:rPr>
          <w:rFonts w:eastAsia="標楷體" w:hAnsi="Arial"/>
        </w:rPr>
        <w:t>。</w:t>
      </w:r>
    </w:p>
    <w:p w:rsidR="00825871" w:rsidRPr="008E7939" w:rsidRDefault="006656CF" w:rsidP="00274DDF">
      <w:pPr>
        <w:spacing w:line="440" w:lineRule="exact"/>
        <w:ind w:left="720" w:hanging="238"/>
        <w:jc w:val="both"/>
        <w:rPr>
          <w:rFonts w:eastAsia="標楷體"/>
        </w:rPr>
      </w:pPr>
      <w:r w:rsidRPr="008E7939">
        <w:rPr>
          <w:rFonts w:eastAsia="標楷體" w:hint="eastAsia"/>
        </w:rPr>
        <w:t>2.</w:t>
      </w:r>
      <w:r w:rsidR="00825871" w:rsidRPr="008E7939">
        <w:rPr>
          <w:rFonts w:eastAsia="標楷體" w:hint="eastAsia"/>
        </w:rPr>
        <w:t>銀行於計算槓桿比率時，上開資產負債表</w:t>
      </w:r>
      <w:r w:rsidR="00AD2FC1" w:rsidRPr="008E7939">
        <w:rPr>
          <w:rFonts w:eastAsia="標楷體" w:hint="eastAsia"/>
          <w:strike/>
        </w:rPr>
        <w:t>之</w:t>
      </w:r>
      <w:r w:rsidR="00825871" w:rsidRPr="008E7939">
        <w:rPr>
          <w:rFonts w:eastAsia="標楷體" w:hint="eastAsia"/>
        </w:rPr>
        <w:t>表外項目</w:t>
      </w:r>
      <w:r w:rsidR="00975D64" w:rsidRPr="008E7939">
        <w:rPr>
          <w:rFonts w:eastAsia="標楷體" w:hint="eastAsia"/>
          <w:strike/>
        </w:rPr>
        <w:t>，除</w:t>
      </w:r>
      <w:r w:rsidR="00975D64" w:rsidRPr="008E7939">
        <w:rPr>
          <w:rFonts w:ascii="Arial" w:eastAsia="標楷體" w:hAnsi="Arial" w:cs="Arial"/>
          <w:strike/>
        </w:rPr>
        <w:t>銀行無需事先通知即得隨時無條件取消之承諾</w:t>
      </w:r>
      <w:r w:rsidR="00975D64" w:rsidRPr="008E7939">
        <w:rPr>
          <w:rFonts w:eastAsia="標楷體" w:hAnsi="Arial"/>
          <w:strike/>
        </w:rPr>
        <w:t>，得適用</w:t>
      </w:r>
      <w:r w:rsidR="00975D64" w:rsidRPr="008E7939">
        <w:rPr>
          <w:rFonts w:eastAsia="標楷體"/>
          <w:strike/>
        </w:rPr>
        <w:t>10%</w:t>
      </w:r>
      <w:r w:rsidR="00975D64" w:rsidRPr="008E7939">
        <w:rPr>
          <w:rFonts w:eastAsia="標楷體" w:hAnsi="Arial"/>
          <w:strike/>
        </w:rPr>
        <w:t>之信用轉換係數（</w:t>
      </w:r>
      <w:r w:rsidR="00975D64" w:rsidRPr="008E7939">
        <w:rPr>
          <w:rFonts w:eastAsia="標楷體"/>
          <w:strike/>
        </w:rPr>
        <w:t>CCF</w:t>
      </w:r>
      <w:r w:rsidR="00975D64" w:rsidRPr="008E7939">
        <w:rPr>
          <w:rFonts w:eastAsia="標楷體" w:hAnsi="Arial"/>
          <w:strike/>
        </w:rPr>
        <w:t>）外，其他項目均</w:t>
      </w:r>
      <w:r w:rsidR="00825871" w:rsidRPr="008E7939">
        <w:rPr>
          <w:rFonts w:eastAsia="標楷體"/>
          <w:strike/>
        </w:rPr>
        <w:t>適用</w:t>
      </w:r>
      <w:r w:rsidR="00825871" w:rsidRPr="008E7939">
        <w:rPr>
          <w:rFonts w:eastAsia="標楷體"/>
          <w:strike/>
        </w:rPr>
        <w:t>100%</w:t>
      </w:r>
      <w:r w:rsidR="00975D64" w:rsidRPr="008E7939">
        <w:rPr>
          <w:rFonts w:eastAsia="標楷體"/>
          <w:strike/>
        </w:rPr>
        <w:t>之</w:t>
      </w:r>
      <w:r w:rsidR="00DB2FB9" w:rsidRPr="008E7939">
        <w:rPr>
          <w:rFonts w:eastAsia="標楷體"/>
          <w:strike/>
        </w:rPr>
        <w:t>信用轉換係數</w:t>
      </w:r>
      <w:r w:rsidR="00DB2FB9" w:rsidRPr="008E7939">
        <w:rPr>
          <w:rFonts w:eastAsia="標楷體" w:hint="eastAsia"/>
          <w:strike/>
        </w:rPr>
        <w:t>。</w:t>
      </w:r>
      <w:r w:rsidR="00DB2FB9" w:rsidRPr="008E7939">
        <w:rPr>
          <w:rFonts w:eastAsia="標楷體" w:hAnsi="Arial" w:hint="eastAsia"/>
          <w:u w:val="single"/>
        </w:rPr>
        <w:t>係以信用轉換係數</w:t>
      </w:r>
      <w:r w:rsidR="00364D81" w:rsidRPr="008E7939">
        <w:rPr>
          <w:rFonts w:eastAsia="標楷體" w:hAnsi="Arial"/>
          <w:u w:val="single"/>
        </w:rPr>
        <w:t>（</w:t>
      </w:r>
      <w:r w:rsidR="00364D81" w:rsidRPr="008E7939">
        <w:rPr>
          <w:rFonts w:eastAsia="標楷體"/>
          <w:u w:val="single"/>
        </w:rPr>
        <w:t>CCF</w:t>
      </w:r>
      <w:r w:rsidR="00364D81" w:rsidRPr="008E7939">
        <w:rPr>
          <w:rFonts w:eastAsia="標楷體" w:hAnsi="Arial"/>
          <w:u w:val="single"/>
        </w:rPr>
        <w:t>）</w:t>
      </w:r>
      <w:r w:rsidR="00DB2FB9" w:rsidRPr="008E7939">
        <w:rPr>
          <w:rFonts w:eastAsia="標楷體"/>
          <w:kern w:val="0"/>
          <w:u w:val="single"/>
        </w:rPr>
        <w:t>轉換成</w:t>
      </w:r>
      <w:proofErr w:type="gramStart"/>
      <w:r w:rsidR="00DB2FB9" w:rsidRPr="008E7939">
        <w:rPr>
          <w:rFonts w:eastAsia="標楷體"/>
          <w:kern w:val="0"/>
          <w:u w:val="single"/>
        </w:rPr>
        <w:t>信用</w:t>
      </w:r>
      <w:r w:rsidR="00DB2FB9" w:rsidRPr="008E7939">
        <w:rPr>
          <w:rFonts w:eastAsia="標楷體" w:hint="eastAsia"/>
          <w:kern w:val="0"/>
          <w:u w:val="single"/>
        </w:rPr>
        <w:t>暴險</w:t>
      </w:r>
      <w:r w:rsidR="00DB2FB9" w:rsidRPr="008E7939">
        <w:rPr>
          <w:rFonts w:eastAsia="標楷體"/>
          <w:kern w:val="0"/>
          <w:u w:val="single"/>
        </w:rPr>
        <w:t>相當</w:t>
      </w:r>
      <w:proofErr w:type="gramEnd"/>
      <w:r w:rsidR="00DB2FB9" w:rsidRPr="008E7939">
        <w:rPr>
          <w:rFonts w:eastAsia="標楷體"/>
          <w:kern w:val="0"/>
          <w:u w:val="single"/>
        </w:rPr>
        <w:t>額，</w:t>
      </w:r>
      <w:r w:rsidR="00DB2FB9" w:rsidRPr="008E7939">
        <w:rPr>
          <w:rFonts w:eastAsia="標楷體" w:hint="eastAsia"/>
          <w:kern w:val="0"/>
          <w:u w:val="single"/>
        </w:rPr>
        <w:t>且</w:t>
      </w:r>
      <w:r w:rsidR="00DB2FB9" w:rsidRPr="008E7939">
        <w:rPr>
          <w:rFonts w:eastAsia="標楷體" w:hint="eastAsia"/>
          <w:u w:val="single"/>
        </w:rPr>
        <w:t>適用之最低信用轉換係數為</w:t>
      </w:r>
      <w:r w:rsidR="00DB2FB9" w:rsidRPr="008E7939">
        <w:rPr>
          <w:rFonts w:eastAsia="標楷體" w:hint="eastAsia"/>
          <w:u w:val="single"/>
        </w:rPr>
        <w:t>10%</w:t>
      </w:r>
      <w:r w:rsidR="00DB2FB9" w:rsidRPr="008E7939">
        <w:rPr>
          <w:rFonts w:ascii="標楷體" w:eastAsia="標楷體" w:hAnsi="標楷體" w:hint="eastAsia"/>
          <w:u w:val="single"/>
        </w:rPr>
        <w:t>，</w:t>
      </w:r>
      <w:r w:rsidR="00DB2FB9" w:rsidRPr="008E7939">
        <w:rPr>
          <w:rFonts w:eastAsia="標楷體" w:hint="eastAsia"/>
          <w:u w:val="single"/>
        </w:rPr>
        <w:t>規定如下</w:t>
      </w:r>
      <w:r w:rsidR="00DB2FB9" w:rsidRPr="008E7939">
        <w:rPr>
          <w:rFonts w:ascii="標楷體" w:eastAsia="標楷體" w:hAnsi="標楷體" w:hint="eastAsia"/>
          <w:u w:val="single"/>
        </w:rPr>
        <w:t>：</w:t>
      </w:r>
    </w:p>
    <w:p w:rsidR="00E22D8C" w:rsidRPr="008E7939" w:rsidRDefault="00E22D8C" w:rsidP="00CD262A">
      <w:pPr>
        <w:spacing w:line="440" w:lineRule="exact"/>
        <w:ind w:leftChars="300" w:left="1008" w:hangingChars="120" w:hanging="288"/>
        <w:jc w:val="both"/>
        <w:rPr>
          <w:rFonts w:eastAsia="標楷體"/>
          <w:u w:val="single"/>
        </w:rPr>
      </w:pPr>
      <w:r w:rsidRPr="008E7939">
        <w:rPr>
          <w:rFonts w:eastAsia="標楷體" w:hint="eastAsia"/>
          <w:u w:val="single"/>
        </w:rPr>
        <w:t>(1)</w:t>
      </w:r>
      <w:r w:rsidRPr="008E7939">
        <w:rPr>
          <w:rFonts w:eastAsia="標楷體" w:hint="eastAsia"/>
          <w:u w:val="single"/>
        </w:rPr>
        <w:t>銀行無須事先通知即得隨時無條件取消之承諾</w:t>
      </w:r>
      <w:r w:rsidR="004E42FF" w:rsidRPr="008E7939">
        <w:rPr>
          <w:rStyle w:val="a8"/>
          <w:rFonts w:eastAsia="標楷體"/>
          <w:u w:val="single"/>
        </w:rPr>
        <w:footnoteReference w:id="8"/>
      </w:r>
      <w:r w:rsidRPr="008E7939">
        <w:rPr>
          <w:rFonts w:ascii="標楷體" w:eastAsia="標楷體" w:hAnsi="標楷體" w:hint="eastAsia"/>
          <w:u w:val="single"/>
        </w:rPr>
        <w:t>，</w:t>
      </w:r>
      <w:r w:rsidRPr="008E7939">
        <w:rPr>
          <w:rFonts w:eastAsia="標楷體" w:hint="eastAsia"/>
          <w:u w:val="single"/>
        </w:rPr>
        <w:t>及當借款人信用貶落時</w:t>
      </w:r>
      <w:r w:rsidRPr="008E7939">
        <w:rPr>
          <w:rFonts w:ascii="標楷體" w:eastAsia="標楷體" w:hAnsi="標楷體" w:hint="eastAsia"/>
          <w:u w:val="single"/>
        </w:rPr>
        <w:t>，</w:t>
      </w:r>
      <w:r w:rsidRPr="008E7939">
        <w:rPr>
          <w:rFonts w:eastAsia="標楷體" w:hint="eastAsia"/>
          <w:u w:val="single"/>
        </w:rPr>
        <w:t>銀行有權自動取</w:t>
      </w:r>
      <w:r w:rsidRPr="008E7939">
        <w:rPr>
          <w:rFonts w:eastAsia="標楷體" w:hint="eastAsia"/>
          <w:u w:val="single"/>
        </w:rPr>
        <w:lastRenderedPageBreak/>
        <w:t>消之承諾</w:t>
      </w:r>
      <w:r w:rsidRPr="008E7939">
        <w:rPr>
          <w:rFonts w:ascii="標楷體" w:eastAsia="標楷體" w:hAnsi="標楷體" w:hint="eastAsia"/>
          <w:u w:val="single"/>
        </w:rPr>
        <w:t>，</w:t>
      </w:r>
      <w:r w:rsidRPr="008E7939">
        <w:rPr>
          <w:rFonts w:eastAsia="標楷體" w:hint="eastAsia"/>
          <w:u w:val="single"/>
        </w:rPr>
        <w:t>信用轉換係數為</w:t>
      </w:r>
      <w:r w:rsidRPr="008E7939">
        <w:rPr>
          <w:rFonts w:eastAsia="標楷體" w:hint="eastAsia"/>
          <w:u w:val="single"/>
        </w:rPr>
        <w:t>10%</w:t>
      </w:r>
      <w:r w:rsidRPr="008E7939">
        <w:rPr>
          <w:rFonts w:ascii="標楷體" w:eastAsia="標楷體" w:hAnsi="標楷體" w:hint="eastAsia"/>
          <w:u w:val="single"/>
        </w:rPr>
        <w:t>。</w:t>
      </w:r>
    </w:p>
    <w:p w:rsidR="00E22D8C" w:rsidRPr="008E7939" w:rsidRDefault="00E22D8C" w:rsidP="00CD262A">
      <w:pPr>
        <w:spacing w:line="440" w:lineRule="exact"/>
        <w:ind w:leftChars="300" w:left="1008" w:hangingChars="120" w:hanging="288"/>
        <w:jc w:val="both"/>
        <w:rPr>
          <w:rFonts w:ascii="標楷體" w:eastAsia="標楷體" w:hAnsi="標楷體"/>
          <w:u w:val="single"/>
        </w:rPr>
      </w:pPr>
      <w:r w:rsidRPr="008E7939">
        <w:rPr>
          <w:rFonts w:eastAsia="標楷體" w:hAnsi="Arial" w:hint="eastAsia"/>
          <w:u w:val="single"/>
        </w:rPr>
        <w:t>(2)</w:t>
      </w:r>
      <w:r w:rsidRPr="008E7939">
        <w:rPr>
          <w:rFonts w:eastAsia="標楷體" w:hint="eastAsia"/>
          <w:u w:val="single"/>
        </w:rPr>
        <w:t>資產負債表</w:t>
      </w:r>
      <w:proofErr w:type="gramStart"/>
      <w:r w:rsidRPr="008E7939">
        <w:rPr>
          <w:rFonts w:eastAsia="標楷體" w:hint="eastAsia"/>
          <w:u w:val="single"/>
        </w:rPr>
        <w:t>表</w:t>
      </w:r>
      <w:proofErr w:type="gramEnd"/>
      <w:r w:rsidRPr="008E7939">
        <w:rPr>
          <w:rFonts w:eastAsia="標楷體" w:hint="eastAsia"/>
          <w:u w:val="single"/>
        </w:rPr>
        <w:t>外</w:t>
      </w:r>
      <w:proofErr w:type="gramStart"/>
      <w:r w:rsidRPr="008E7939">
        <w:rPr>
          <w:rFonts w:eastAsia="標楷體" w:hint="eastAsia"/>
          <w:u w:val="single"/>
        </w:rPr>
        <w:t>證券化暴險</w:t>
      </w:r>
      <w:proofErr w:type="gramEnd"/>
      <w:r w:rsidRPr="008E7939">
        <w:rPr>
          <w:rFonts w:ascii="標楷體" w:eastAsia="標楷體" w:hAnsi="標楷體" w:hint="eastAsia"/>
          <w:u w:val="single"/>
        </w:rPr>
        <w:t>，若符合證券化交易標準法中之</w:t>
      </w:r>
      <w:r w:rsidRPr="008E7939">
        <w:rPr>
          <w:rFonts w:eastAsia="標楷體" w:hint="eastAsia"/>
          <w:u w:val="single"/>
        </w:rPr>
        <w:t>「服務機構之合格預付現金額度」</w:t>
      </w:r>
      <w:r w:rsidRPr="008E7939">
        <w:rPr>
          <w:rFonts w:ascii="標楷體" w:eastAsia="標楷體" w:hAnsi="標楷體" w:hint="eastAsia"/>
          <w:u w:val="single"/>
        </w:rPr>
        <w:t>，信用轉換係數為</w:t>
      </w:r>
      <w:r w:rsidRPr="008E7939">
        <w:rPr>
          <w:rFonts w:eastAsia="標楷體"/>
          <w:u w:val="single"/>
        </w:rPr>
        <w:t>10%</w:t>
      </w:r>
      <w:r w:rsidRPr="008E7939">
        <w:rPr>
          <w:rFonts w:eastAsia="標楷體"/>
          <w:u w:val="single"/>
        </w:rPr>
        <w:t>，若符合「合格流動性融資額度」，信用轉換係數為</w:t>
      </w:r>
      <w:r w:rsidRPr="008E7939">
        <w:rPr>
          <w:rFonts w:eastAsia="標楷體"/>
          <w:u w:val="single"/>
        </w:rPr>
        <w:t>50%</w:t>
      </w:r>
      <w:r w:rsidRPr="008E7939">
        <w:rPr>
          <w:rFonts w:eastAsia="標楷體"/>
          <w:u w:val="single"/>
        </w:rPr>
        <w:t>，其餘</w:t>
      </w:r>
      <w:r w:rsidRPr="008E7939">
        <w:rPr>
          <w:rFonts w:eastAsia="標楷體" w:hint="eastAsia"/>
          <w:u w:val="single"/>
        </w:rPr>
        <w:t>表外</w:t>
      </w:r>
      <w:proofErr w:type="gramStart"/>
      <w:r w:rsidRPr="008E7939">
        <w:rPr>
          <w:rFonts w:eastAsia="標楷體" w:hint="eastAsia"/>
          <w:u w:val="single"/>
        </w:rPr>
        <w:t>證券化暴險</w:t>
      </w:r>
      <w:proofErr w:type="gramEnd"/>
      <w:r w:rsidRPr="008E7939">
        <w:rPr>
          <w:rFonts w:eastAsia="標楷體" w:hint="eastAsia"/>
          <w:u w:val="single"/>
        </w:rPr>
        <w:t>之信用轉換係數為</w:t>
      </w:r>
      <w:r w:rsidRPr="008E7939">
        <w:rPr>
          <w:rFonts w:eastAsia="標楷體" w:hint="eastAsia"/>
          <w:u w:val="single"/>
        </w:rPr>
        <w:t>100%</w:t>
      </w:r>
      <w:r w:rsidRPr="008E7939">
        <w:rPr>
          <w:rFonts w:eastAsia="標楷體" w:hint="eastAsia"/>
          <w:u w:val="single"/>
        </w:rPr>
        <w:t>。</w:t>
      </w:r>
    </w:p>
    <w:p w:rsidR="00E22D8C" w:rsidRPr="008E7939" w:rsidRDefault="00E22D8C" w:rsidP="00CD262A">
      <w:pPr>
        <w:spacing w:line="440" w:lineRule="exact"/>
        <w:ind w:leftChars="300" w:left="1008" w:hangingChars="120" w:hanging="288"/>
        <w:jc w:val="both"/>
        <w:rPr>
          <w:rFonts w:eastAsia="標楷體"/>
        </w:rPr>
      </w:pPr>
      <w:r w:rsidRPr="008E7939">
        <w:rPr>
          <w:rFonts w:ascii="標楷體" w:eastAsia="標楷體" w:hAnsi="標楷體" w:hint="eastAsia"/>
          <w:u w:val="single"/>
        </w:rPr>
        <w:t>(</w:t>
      </w:r>
      <w:r w:rsidRPr="008E7939">
        <w:rPr>
          <w:rFonts w:eastAsia="標楷體"/>
          <w:u w:val="single"/>
        </w:rPr>
        <w:t>3</w:t>
      </w:r>
      <w:r w:rsidRPr="008E7939">
        <w:rPr>
          <w:rFonts w:ascii="標楷體" w:eastAsia="標楷體" w:hAnsi="標楷體" w:hint="eastAsia"/>
          <w:u w:val="single"/>
        </w:rPr>
        <w:t>)其餘資產負債表</w:t>
      </w:r>
      <w:proofErr w:type="gramStart"/>
      <w:r w:rsidRPr="008E7939">
        <w:rPr>
          <w:rFonts w:ascii="標楷體" w:eastAsia="標楷體" w:hAnsi="標楷體" w:hint="eastAsia"/>
          <w:u w:val="single"/>
        </w:rPr>
        <w:t>表外暴險</w:t>
      </w:r>
      <w:proofErr w:type="gramEnd"/>
      <w:r w:rsidRPr="008E7939">
        <w:rPr>
          <w:rFonts w:ascii="標楷體" w:eastAsia="標楷體" w:hAnsi="標楷體" w:hint="eastAsia"/>
          <w:u w:val="single"/>
        </w:rPr>
        <w:t>之信用轉換係數，適用信用風險標準法中資產負債表</w:t>
      </w:r>
      <w:proofErr w:type="gramStart"/>
      <w:r w:rsidRPr="008E7939">
        <w:rPr>
          <w:rFonts w:ascii="標楷體" w:eastAsia="標楷體" w:hAnsi="標楷體" w:hint="eastAsia"/>
          <w:u w:val="single"/>
        </w:rPr>
        <w:t>表</w:t>
      </w:r>
      <w:proofErr w:type="gramEnd"/>
      <w:r w:rsidRPr="008E7939">
        <w:rPr>
          <w:rFonts w:ascii="標楷體" w:eastAsia="標楷體" w:hAnsi="標楷體" w:hint="eastAsia"/>
          <w:u w:val="single"/>
        </w:rPr>
        <w:t>外交易項目之信用轉換係數。</w:t>
      </w:r>
    </w:p>
    <w:p w:rsidR="00061E5A" w:rsidRPr="008E7939" w:rsidRDefault="00A2216C" w:rsidP="00274DDF">
      <w:pPr>
        <w:pStyle w:val="11"/>
      </w:pPr>
      <w:r w:rsidRPr="008E7939">
        <w:t>四、平行</w:t>
      </w:r>
      <w:r w:rsidRPr="008E7939">
        <w:rPr>
          <w:rFonts w:hint="eastAsia"/>
        </w:rPr>
        <w:t>試算</w:t>
      </w:r>
      <w:r w:rsidR="00061E5A" w:rsidRPr="008E7939">
        <w:rPr>
          <w:rFonts w:hint="eastAsia"/>
        </w:rPr>
        <w:t>期間</w:t>
      </w:r>
      <w:r w:rsidRPr="008E7939">
        <w:rPr>
          <w:rFonts w:hint="eastAsia"/>
        </w:rPr>
        <w:t>規定</w:t>
      </w:r>
    </w:p>
    <w:p w:rsidR="00E53456" w:rsidRPr="008E7939" w:rsidRDefault="007B0668" w:rsidP="00274DDF">
      <w:pPr>
        <w:ind w:leftChars="150" w:left="360" w:firstLineChars="200" w:firstLine="480"/>
        <w:jc w:val="both"/>
        <w:rPr>
          <w:rFonts w:eastAsia="標楷體" w:hAnsi="標楷體"/>
        </w:rPr>
      </w:pPr>
      <w:r w:rsidRPr="008E7939">
        <w:rPr>
          <w:rFonts w:eastAsia="標楷體" w:hint="eastAsia"/>
        </w:rPr>
        <w:t>銀行</w:t>
      </w:r>
      <w:r w:rsidRPr="008E7939">
        <w:rPr>
          <w:rFonts w:eastAsia="標楷體" w:hAnsi="標楷體" w:hint="eastAsia"/>
        </w:rPr>
        <w:t>應自</w:t>
      </w:r>
      <w:r w:rsidRPr="008E7939">
        <w:rPr>
          <w:rFonts w:eastAsia="標楷體" w:hAnsi="標楷體" w:hint="eastAsia"/>
        </w:rPr>
        <w:t>102</w:t>
      </w:r>
      <w:r w:rsidRPr="008E7939">
        <w:rPr>
          <w:rFonts w:eastAsia="標楷體" w:hAnsi="標楷體" w:hint="eastAsia"/>
        </w:rPr>
        <w:t>年</w:t>
      </w:r>
      <w:r w:rsidR="00A84A95" w:rsidRPr="008E7939">
        <w:rPr>
          <w:rFonts w:eastAsia="標楷體" w:hAnsi="標楷體" w:hint="eastAsia"/>
        </w:rPr>
        <w:t>起</w:t>
      </w:r>
      <w:r w:rsidRPr="008E7939">
        <w:rPr>
          <w:rFonts w:eastAsia="標楷體" w:hAnsi="標楷體" w:hint="eastAsia"/>
        </w:rPr>
        <w:t>按季計算</w:t>
      </w:r>
      <w:r w:rsidR="00810157" w:rsidRPr="008E7939">
        <w:rPr>
          <w:rFonts w:eastAsia="標楷體" w:hAnsi="標楷體" w:hint="eastAsia"/>
        </w:rPr>
        <w:t>並</w:t>
      </w:r>
      <w:r w:rsidR="00796B66" w:rsidRPr="008E7939">
        <w:rPr>
          <w:rFonts w:eastAsia="標楷體" w:hAnsi="標楷體" w:hint="eastAsia"/>
        </w:rPr>
        <w:t>向本會</w:t>
      </w:r>
      <w:r w:rsidR="00A84A95" w:rsidRPr="008E7939">
        <w:rPr>
          <w:rFonts w:eastAsia="標楷體" w:hAnsi="標楷體" w:hint="eastAsia"/>
        </w:rPr>
        <w:t>申報</w:t>
      </w:r>
      <w:r w:rsidRPr="008E7939">
        <w:rPr>
          <w:rFonts w:eastAsia="標楷體" w:hAnsi="標楷體" w:hint="eastAsia"/>
        </w:rPr>
        <w:t>槓桿比率，自</w:t>
      </w:r>
      <w:r w:rsidRPr="008E7939">
        <w:rPr>
          <w:rFonts w:eastAsia="標楷體" w:hAnsi="標楷體" w:hint="eastAsia"/>
        </w:rPr>
        <w:t>104</w:t>
      </w:r>
      <w:r w:rsidR="00810157" w:rsidRPr="008E7939">
        <w:rPr>
          <w:rFonts w:eastAsia="標楷體" w:hAnsi="標楷體" w:hint="eastAsia"/>
        </w:rPr>
        <w:t>年開始依本會</w:t>
      </w:r>
      <w:r w:rsidRPr="008E7939">
        <w:rPr>
          <w:rFonts w:eastAsia="標楷體" w:hAnsi="標楷體" w:hint="eastAsia"/>
        </w:rPr>
        <w:t>指定之方式，揭露槓桿比率</w:t>
      </w:r>
      <w:r w:rsidR="00A84A95" w:rsidRPr="008E7939">
        <w:rPr>
          <w:rFonts w:eastAsia="標楷體" w:hAnsi="標楷體" w:hint="eastAsia"/>
        </w:rPr>
        <w:t>之計算結果</w:t>
      </w:r>
      <w:r w:rsidRPr="008E7939">
        <w:rPr>
          <w:rFonts w:eastAsia="標楷體" w:hAnsi="標楷體" w:hint="eastAsia"/>
        </w:rPr>
        <w:t>及其組成項目</w:t>
      </w:r>
      <w:r w:rsidR="009C5BC8" w:rsidRPr="008E7939">
        <w:rPr>
          <w:rFonts w:eastAsia="標楷體" w:hAnsi="標楷體" w:hint="eastAsia"/>
          <w:u w:val="single"/>
        </w:rPr>
        <w:t>，並自</w:t>
      </w:r>
      <w:r w:rsidR="009C5BC8" w:rsidRPr="008E7939">
        <w:rPr>
          <w:rFonts w:eastAsia="標楷體" w:hint="eastAsia"/>
          <w:u w:val="single"/>
        </w:rPr>
        <w:t>107</w:t>
      </w:r>
      <w:r w:rsidR="009C5BC8" w:rsidRPr="008E7939">
        <w:rPr>
          <w:rFonts w:eastAsia="標楷體" w:hint="eastAsia"/>
          <w:u w:val="single"/>
        </w:rPr>
        <w:t>年起納入第一支柱</w:t>
      </w:r>
      <w:r w:rsidR="009C5BC8" w:rsidRPr="008E7939">
        <w:rPr>
          <w:rFonts w:eastAsia="標楷體" w:hint="eastAsia"/>
          <w:u w:val="single"/>
        </w:rPr>
        <w:t>(</w:t>
      </w:r>
      <w:r w:rsidR="009C5BC8" w:rsidRPr="008E7939">
        <w:rPr>
          <w:rFonts w:eastAsia="標楷體" w:hint="eastAsia"/>
          <w:u w:val="single"/>
        </w:rPr>
        <w:t>最低資本要求</w:t>
      </w:r>
      <w:r w:rsidR="009C5BC8" w:rsidRPr="008E7939">
        <w:rPr>
          <w:rFonts w:eastAsia="標楷體" w:hint="eastAsia"/>
          <w:u w:val="single"/>
        </w:rPr>
        <w:t>)</w:t>
      </w:r>
      <w:r w:rsidR="009C5BC8" w:rsidRPr="008E7939">
        <w:rPr>
          <w:rFonts w:eastAsia="標楷體" w:hint="eastAsia"/>
          <w:u w:val="single"/>
        </w:rPr>
        <w:t>實施</w:t>
      </w:r>
      <w:r w:rsidRPr="008E7939">
        <w:rPr>
          <w:rFonts w:eastAsia="標楷體" w:hAnsi="標楷體" w:hint="eastAsia"/>
        </w:rPr>
        <w:t>。</w:t>
      </w:r>
    </w:p>
    <w:p w:rsidR="00E51C27" w:rsidRPr="008E7939" w:rsidRDefault="00E51C27" w:rsidP="00E51C27">
      <w:pPr>
        <w:spacing w:line="440" w:lineRule="exact"/>
        <w:jc w:val="both"/>
        <w:rPr>
          <w:rFonts w:eastAsia="標楷體" w:hAnsi="標楷體"/>
          <w:b/>
          <w:sz w:val="32"/>
          <w:szCs w:val="32"/>
          <w:shd w:val="pct15" w:color="auto" w:fill="FFFFFF"/>
        </w:rPr>
      </w:pPr>
    </w:p>
    <w:p w:rsidR="002A771A" w:rsidRPr="009C3C9B" w:rsidRDefault="002A771A">
      <w:pPr>
        <w:widowControl/>
        <w:rPr>
          <w:rFonts w:eastAsia="標楷體"/>
          <w:b/>
          <w:sz w:val="32"/>
          <w:szCs w:val="32"/>
        </w:rPr>
      </w:pPr>
      <w:r w:rsidRPr="009C3C9B">
        <w:rPr>
          <w:rFonts w:eastAsia="標楷體"/>
          <w:b/>
          <w:sz w:val="32"/>
          <w:szCs w:val="32"/>
        </w:rPr>
        <w:br w:type="page"/>
      </w:r>
      <w:bookmarkStart w:id="3" w:name="_GoBack"/>
      <w:bookmarkEnd w:id="3"/>
    </w:p>
    <w:p w:rsidR="002A771A" w:rsidRDefault="002A771A" w:rsidP="002A771A">
      <w:pPr>
        <w:widowControl/>
        <w:rPr>
          <w:rFonts w:eastAsia="標楷體" w:hAnsi="標楷體" w:cs="標楷體-WinCharSetFFFF-H"/>
        </w:rPr>
      </w:pPr>
    </w:p>
    <w:p w:rsidR="002A771A" w:rsidRPr="00A50798" w:rsidRDefault="002A771A" w:rsidP="002A771A">
      <w:pPr>
        <w:spacing w:before="360" w:line="1000" w:lineRule="exact"/>
        <w:jc w:val="center"/>
        <w:rPr>
          <w:rFonts w:eastAsia="標楷體"/>
          <w:spacing w:val="20"/>
          <w:sz w:val="72"/>
        </w:rPr>
      </w:pPr>
    </w:p>
    <w:p w:rsidR="002A771A" w:rsidRPr="00A50798" w:rsidRDefault="002A771A" w:rsidP="002A771A">
      <w:pPr>
        <w:spacing w:before="360" w:line="1000" w:lineRule="exact"/>
        <w:jc w:val="center"/>
        <w:rPr>
          <w:rFonts w:eastAsia="標楷體"/>
          <w:spacing w:val="20"/>
          <w:sz w:val="72"/>
        </w:rPr>
      </w:pPr>
    </w:p>
    <w:p w:rsidR="002A771A" w:rsidRPr="00A50798" w:rsidRDefault="002A771A" w:rsidP="002A771A">
      <w:pPr>
        <w:spacing w:before="360" w:line="1000" w:lineRule="exact"/>
        <w:jc w:val="center"/>
        <w:rPr>
          <w:rFonts w:eastAsia="標楷體"/>
          <w:spacing w:val="20"/>
          <w:sz w:val="72"/>
        </w:rPr>
      </w:pPr>
    </w:p>
    <w:p w:rsidR="002A771A" w:rsidRPr="00A50798" w:rsidRDefault="002A771A" w:rsidP="002A771A">
      <w:pPr>
        <w:spacing w:before="360" w:line="1000" w:lineRule="exact"/>
        <w:jc w:val="center"/>
        <w:rPr>
          <w:rFonts w:eastAsia="標楷體"/>
          <w:b/>
          <w:spacing w:val="20"/>
          <w:sz w:val="52"/>
          <w:szCs w:val="52"/>
        </w:rPr>
      </w:pPr>
      <w:r w:rsidRPr="00A50798">
        <w:rPr>
          <w:rFonts w:eastAsia="標楷體" w:hint="eastAsia"/>
          <w:b/>
          <w:spacing w:val="20"/>
          <w:sz w:val="52"/>
          <w:szCs w:val="52"/>
        </w:rPr>
        <w:t>第七部分</w:t>
      </w:r>
    </w:p>
    <w:p w:rsidR="002A771A" w:rsidRPr="00A50798" w:rsidRDefault="002A771A" w:rsidP="002A771A">
      <w:pPr>
        <w:spacing w:before="360" w:line="1000" w:lineRule="exact"/>
        <w:jc w:val="center"/>
        <w:rPr>
          <w:rFonts w:eastAsia="標楷體"/>
          <w:b/>
          <w:spacing w:val="20"/>
          <w:sz w:val="52"/>
          <w:szCs w:val="52"/>
        </w:rPr>
      </w:pPr>
      <w:r w:rsidRPr="00A50798">
        <w:rPr>
          <w:rFonts w:eastAsia="標楷體" w:hint="eastAsia"/>
          <w:b/>
          <w:spacing w:val="20"/>
          <w:sz w:val="52"/>
          <w:szCs w:val="52"/>
        </w:rPr>
        <w:t>銀行自有資本與風險性資產計算表格</w:t>
      </w:r>
    </w:p>
    <w:p w:rsidR="00E51C27" w:rsidRPr="002A771A" w:rsidRDefault="00E51C27" w:rsidP="00E51C27">
      <w:pPr>
        <w:spacing w:line="440" w:lineRule="exact"/>
        <w:jc w:val="both"/>
        <w:rPr>
          <w:rFonts w:eastAsia="標楷體"/>
          <w:b/>
          <w:sz w:val="32"/>
          <w:szCs w:val="32"/>
          <w:shd w:val="pct15" w:color="auto" w:fill="FFFFFF"/>
        </w:rPr>
      </w:pPr>
    </w:p>
    <w:p w:rsidR="002A771A" w:rsidRDefault="002A771A">
      <w:pPr>
        <w:widowControl/>
        <w:rPr>
          <w:rFonts w:eastAsia="標楷體"/>
        </w:rPr>
      </w:pPr>
      <w:r>
        <w:rPr>
          <w:rFonts w:eastAsia="標楷體"/>
        </w:rPr>
        <w:br w:type="page"/>
      </w:r>
    </w:p>
    <w:p w:rsidR="002A771A" w:rsidRPr="00A50798" w:rsidRDefault="002A771A" w:rsidP="002A771A">
      <w:pPr>
        <w:pStyle w:val="1"/>
        <w:spacing w:before="0" w:after="0" w:line="320" w:lineRule="exact"/>
      </w:pPr>
      <w:r w:rsidRPr="00A50798">
        <w:rPr>
          <w:rFonts w:hint="eastAsia"/>
        </w:rPr>
        <w:lastRenderedPageBreak/>
        <w:t>壹、總表</w:t>
      </w:r>
    </w:p>
    <w:p w:rsidR="002A771A" w:rsidRPr="00A50798" w:rsidRDefault="002A771A" w:rsidP="002A771A">
      <w:pPr>
        <w:pStyle w:val="af2"/>
        <w:spacing w:after="0"/>
        <w:jc w:val="both"/>
        <w:rPr>
          <w:rFonts w:eastAsia="標楷體"/>
          <w:b/>
          <w:bCs/>
          <w:sz w:val="24"/>
        </w:rPr>
      </w:pPr>
      <w:r w:rsidRPr="00A50798">
        <w:rPr>
          <w:rFonts w:eastAsia="標楷體" w:hint="eastAsia"/>
          <w:b/>
          <w:bCs/>
          <w:sz w:val="24"/>
        </w:rPr>
        <w:t>【表</w:t>
      </w:r>
      <w:r w:rsidRPr="00A50798">
        <w:rPr>
          <w:rFonts w:eastAsia="標楷體" w:hint="eastAsia"/>
          <w:b/>
          <w:bCs/>
          <w:sz w:val="24"/>
        </w:rPr>
        <w:t>1-A1</w:t>
      </w:r>
      <w:r w:rsidRPr="00A50798">
        <w:rPr>
          <w:rFonts w:eastAsia="標楷體" w:hint="eastAsia"/>
          <w:b/>
          <w:bCs/>
          <w:sz w:val="24"/>
        </w:rPr>
        <w:t>】</w:t>
      </w:r>
      <w:r w:rsidRPr="00F75D79">
        <w:rPr>
          <w:rFonts w:eastAsia="標楷體" w:hint="eastAsia"/>
          <w:bCs/>
          <w:sz w:val="24"/>
          <w:szCs w:val="24"/>
        </w:rPr>
        <w:t>（修正後）</w:t>
      </w:r>
    </w:p>
    <w:p w:rsidR="002A771A" w:rsidRPr="00A50798" w:rsidRDefault="002A771A" w:rsidP="002A771A">
      <w:pPr>
        <w:widowControl/>
        <w:snapToGrid w:val="0"/>
        <w:jc w:val="center"/>
        <w:rPr>
          <w:rFonts w:ascii="標楷體" w:eastAsia="標楷體" w:hAnsi="標楷體"/>
        </w:rPr>
      </w:pPr>
      <w:r w:rsidRPr="00A50798">
        <w:rPr>
          <w:rFonts w:ascii="標楷體" w:eastAsia="標楷體" w:hAnsi="標楷體" w:hint="eastAsia"/>
        </w:rPr>
        <w:t>____________________________銀行</w:t>
      </w:r>
    </w:p>
    <w:tbl>
      <w:tblPr>
        <w:tblW w:w="9847" w:type="dxa"/>
        <w:jc w:val="center"/>
        <w:tblInd w:w="6134" w:type="dxa"/>
        <w:tblLayout w:type="fixed"/>
        <w:tblCellMar>
          <w:left w:w="28" w:type="dxa"/>
          <w:right w:w="28" w:type="dxa"/>
        </w:tblCellMar>
        <w:tblLook w:val="0000" w:firstRow="0" w:lastRow="0" w:firstColumn="0" w:lastColumn="0" w:noHBand="0" w:noVBand="0"/>
      </w:tblPr>
      <w:tblGrid>
        <w:gridCol w:w="1539"/>
        <w:gridCol w:w="1598"/>
        <w:gridCol w:w="2340"/>
        <w:gridCol w:w="2160"/>
        <w:gridCol w:w="2210"/>
      </w:tblGrid>
      <w:tr w:rsidR="002A771A" w:rsidRPr="00A50798" w:rsidTr="008F3C1C">
        <w:trPr>
          <w:trHeight w:val="20"/>
          <w:jc w:val="center"/>
        </w:trPr>
        <w:tc>
          <w:tcPr>
            <w:tcW w:w="9847" w:type="dxa"/>
            <w:gridSpan w:val="5"/>
            <w:noWrap/>
            <w:vAlign w:val="bottom"/>
          </w:tcPr>
          <w:p w:rsidR="002A771A" w:rsidRPr="00A50798" w:rsidRDefault="002A771A" w:rsidP="008F3C1C">
            <w:pPr>
              <w:widowControl/>
              <w:jc w:val="center"/>
              <w:rPr>
                <w:rFonts w:ascii="標楷體" w:eastAsia="標楷體" w:hAnsi="標楷體" w:cs="新細明體"/>
                <w:b/>
                <w:bCs/>
                <w:kern w:val="0"/>
              </w:rPr>
            </w:pPr>
            <w:bookmarkStart w:id="4" w:name="OLE_LINK4"/>
            <w:r w:rsidRPr="00A50798">
              <w:rPr>
                <w:rFonts w:ascii="標楷體" w:eastAsia="標楷體" w:hAnsi="標楷體" w:cs="新細明體" w:hint="eastAsia"/>
                <w:b/>
                <w:bCs/>
                <w:kern w:val="0"/>
              </w:rPr>
              <w:t>自有資本與風險性資產比率及槓桿比率計算表</w:t>
            </w:r>
          </w:p>
        </w:tc>
      </w:tr>
      <w:tr w:rsidR="002A771A" w:rsidRPr="00A50798" w:rsidTr="008F3C1C">
        <w:trPr>
          <w:trHeight w:val="20"/>
          <w:jc w:val="center"/>
        </w:trPr>
        <w:tc>
          <w:tcPr>
            <w:tcW w:w="9847" w:type="dxa"/>
            <w:gridSpan w:val="5"/>
            <w:tcBorders>
              <w:bottom w:val="single" w:sz="4" w:space="0" w:color="auto"/>
            </w:tcBorders>
            <w:noWrap/>
            <w:vAlign w:val="bottom"/>
          </w:tcPr>
          <w:p w:rsidR="002A771A" w:rsidRPr="00C9603F" w:rsidRDefault="002A771A" w:rsidP="008F3C1C">
            <w:pPr>
              <w:widowControl/>
              <w:wordWrap w:val="0"/>
              <w:ind w:left="432" w:firstLineChars="1095" w:firstLine="2628"/>
              <w:jc w:val="right"/>
              <w:rPr>
                <w:rFonts w:ascii="標楷體" w:eastAsia="標楷體" w:hAnsi="標楷體" w:cs="新細明體"/>
                <w:kern w:val="0"/>
              </w:rPr>
            </w:pPr>
            <w:r w:rsidRPr="00C9603F">
              <w:rPr>
                <w:rFonts w:ascii="標楷體" w:eastAsia="標楷體" w:hAnsi="標楷體" w:cs="新細明體" w:hint="eastAsia"/>
                <w:kern w:val="0"/>
              </w:rPr>
              <w:t>年    月    日                單位：新臺幣千元；%</w:t>
            </w:r>
          </w:p>
        </w:tc>
      </w:tr>
      <w:tr w:rsidR="002A771A" w:rsidRPr="00A50798" w:rsidTr="008F3C1C">
        <w:trPr>
          <w:trHeight w:val="20"/>
          <w:jc w:val="center"/>
        </w:trPr>
        <w:tc>
          <w:tcPr>
            <w:tcW w:w="1539" w:type="dxa"/>
            <w:tcBorders>
              <w:top w:val="single" w:sz="4" w:space="0" w:color="auto"/>
              <w:left w:val="single" w:sz="4" w:space="0" w:color="auto"/>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加權風險性資產</w:t>
            </w:r>
          </w:p>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1-C)</w:t>
            </w:r>
          </w:p>
        </w:tc>
        <w:tc>
          <w:tcPr>
            <w:tcW w:w="1598"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最低資本計提</w:t>
            </w:r>
          </w:p>
        </w:tc>
        <w:tc>
          <w:tcPr>
            <w:tcW w:w="2340"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自有資本</w:t>
            </w:r>
            <w:r w:rsidRPr="00A50798">
              <w:rPr>
                <w:rStyle w:val="a8"/>
                <w:rFonts w:eastAsia="標楷體"/>
                <w:kern w:val="0"/>
                <w:sz w:val="20"/>
                <w:szCs w:val="20"/>
              </w:rPr>
              <w:footnoteReference w:id="9"/>
            </w:r>
          </w:p>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1-B)</w:t>
            </w:r>
          </w:p>
        </w:tc>
        <w:tc>
          <w:tcPr>
            <w:tcW w:w="2160"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最低資本比率</w:t>
            </w:r>
          </w:p>
        </w:tc>
        <w:tc>
          <w:tcPr>
            <w:tcW w:w="2210" w:type="dxa"/>
            <w:tcBorders>
              <w:top w:val="single" w:sz="4" w:space="0" w:color="auto"/>
              <w:left w:val="nil"/>
              <w:bottom w:val="single" w:sz="4" w:space="0" w:color="auto"/>
              <w:right w:val="single" w:sz="4" w:space="0" w:color="auto"/>
            </w:tcBorders>
            <w:noWrap/>
            <w:vAlign w:val="center"/>
          </w:tcPr>
          <w:p w:rsidR="002A771A" w:rsidRPr="00C9603F" w:rsidRDefault="002A771A" w:rsidP="008F3C1C">
            <w:pPr>
              <w:widowControl/>
              <w:jc w:val="center"/>
              <w:rPr>
                <w:rFonts w:eastAsia="標楷體"/>
                <w:kern w:val="0"/>
                <w:sz w:val="20"/>
                <w:szCs w:val="20"/>
              </w:rPr>
            </w:pPr>
            <w:r w:rsidRPr="00C9603F">
              <w:rPr>
                <w:rFonts w:eastAsia="標楷體" w:hint="eastAsia"/>
                <w:kern w:val="0"/>
                <w:sz w:val="20"/>
                <w:szCs w:val="20"/>
              </w:rPr>
              <w:t>槓桿比率</w:t>
            </w:r>
          </w:p>
          <w:p w:rsidR="002A771A" w:rsidRPr="00C9603F" w:rsidRDefault="002A771A" w:rsidP="008F3C1C">
            <w:pPr>
              <w:widowControl/>
              <w:jc w:val="center"/>
              <w:rPr>
                <w:rFonts w:eastAsia="標楷體"/>
                <w:kern w:val="0"/>
                <w:sz w:val="20"/>
                <w:szCs w:val="20"/>
              </w:rPr>
            </w:pPr>
            <w:r w:rsidRPr="00C9603F">
              <w:rPr>
                <w:rFonts w:eastAsia="標楷體" w:hint="eastAsia"/>
                <w:kern w:val="0"/>
                <w:sz w:val="20"/>
                <w:szCs w:val="20"/>
              </w:rPr>
              <w:t>(</w:t>
            </w:r>
            <w:r w:rsidRPr="00C9603F">
              <w:rPr>
                <w:rFonts w:eastAsia="標楷體" w:hint="eastAsia"/>
                <w:kern w:val="0"/>
                <w:sz w:val="20"/>
                <w:szCs w:val="20"/>
              </w:rPr>
              <w:t>表</w:t>
            </w:r>
            <w:r w:rsidRPr="00C9603F">
              <w:rPr>
                <w:rFonts w:eastAsia="標楷體" w:hint="eastAsia"/>
                <w:kern w:val="0"/>
                <w:sz w:val="20"/>
                <w:szCs w:val="20"/>
              </w:rPr>
              <w:t xml:space="preserve"> 7-A)</w:t>
            </w:r>
          </w:p>
        </w:tc>
      </w:tr>
      <w:tr w:rsidR="002A771A" w:rsidRPr="00A50798" w:rsidTr="008F3C1C">
        <w:trPr>
          <w:cantSplit/>
          <w:trHeight w:val="745"/>
          <w:jc w:val="center"/>
        </w:trPr>
        <w:tc>
          <w:tcPr>
            <w:tcW w:w="1539" w:type="dxa"/>
            <w:vMerge w:val="restart"/>
            <w:tcBorders>
              <w:top w:val="single" w:sz="4" w:space="0" w:color="auto"/>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(1)</w:t>
            </w:r>
            <w:r w:rsidRPr="00A50798">
              <w:rPr>
                <w:rFonts w:eastAsia="標楷體" w:hint="eastAsia"/>
                <w:kern w:val="0"/>
                <w:sz w:val="20"/>
                <w:szCs w:val="20"/>
              </w:rPr>
              <w:t>信用風險</w:t>
            </w:r>
            <w:r w:rsidRPr="00A50798">
              <w:rPr>
                <w:rFonts w:eastAsia="標楷體" w:hint="eastAsia"/>
                <w:kern w:val="0"/>
                <w:sz w:val="20"/>
                <w:szCs w:val="20"/>
              </w:rPr>
              <w:t>:</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single" w:sz="4" w:space="0" w:color="auto"/>
              <w:left w:val="nil"/>
              <w:bottom w:val="nil"/>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(5)</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tcBorders>
              <w:top w:val="single" w:sz="4" w:space="0" w:color="auto"/>
              <w:left w:val="nil"/>
              <w:bottom w:val="nil"/>
              <w:right w:val="single" w:sz="4" w:space="0" w:color="auto"/>
            </w:tcBorders>
            <w:noWrap/>
          </w:tcPr>
          <w:p w:rsidR="002A771A" w:rsidRPr="00A50798" w:rsidRDefault="002A771A" w:rsidP="008F3C1C">
            <w:pPr>
              <w:widowControl/>
              <w:ind w:left="200" w:hangingChars="100" w:hanging="200"/>
              <w:jc w:val="both"/>
              <w:rPr>
                <w:rFonts w:eastAsia="標楷體"/>
                <w:kern w:val="0"/>
                <w:sz w:val="20"/>
                <w:szCs w:val="20"/>
              </w:rPr>
            </w:pPr>
            <w:r w:rsidRPr="00A50798">
              <w:rPr>
                <w:rFonts w:eastAsia="標楷體" w:hint="eastAsia"/>
                <w:kern w:val="0"/>
                <w:sz w:val="20"/>
                <w:szCs w:val="20"/>
              </w:rPr>
              <w:t>(8)</w:t>
            </w:r>
            <w:r w:rsidRPr="00A50798">
              <w:rPr>
                <w:rFonts w:eastAsia="標楷體" w:hint="eastAsia"/>
                <w:kern w:val="0"/>
                <w:sz w:val="20"/>
                <w:szCs w:val="20"/>
              </w:rPr>
              <w:t>普通股權益第一類資本淨額：</w:t>
            </w:r>
          </w:p>
          <w:p w:rsidR="002A771A" w:rsidRPr="00A50798" w:rsidRDefault="002A771A" w:rsidP="008F3C1C">
            <w:pPr>
              <w:widowControl/>
              <w:ind w:firstLineChars="100" w:firstLine="200"/>
              <w:jc w:val="both"/>
              <w:rPr>
                <w:rFonts w:eastAsia="標楷體"/>
                <w:kern w:val="0"/>
                <w:sz w:val="20"/>
                <w:szCs w:val="20"/>
              </w:rPr>
            </w:pPr>
            <w:r w:rsidRPr="00A50798">
              <w:rPr>
                <w:rFonts w:eastAsia="標楷體" w:hint="eastAsia"/>
                <w:kern w:val="0"/>
                <w:sz w:val="20"/>
                <w:szCs w:val="20"/>
              </w:rPr>
              <w:t>$__________</w:t>
            </w:r>
          </w:p>
        </w:tc>
        <w:tc>
          <w:tcPr>
            <w:tcW w:w="2160" w:type="dxa"/>
            <w:vMerge w:val="restart"/>
            <w:tcBorders>
              <w:top w:val="single" w:sz="4" w:space="0" w:color="auto"/>
              <w:left w:val="nil"/>
              <w:bottom w:val="nil"/>
              <w:right w:val="single" w:sz="4" w:space="0" w:color="auto"/>
            </w:tcBorders>
            <w:noWrap/>
          </w:tcPr>
          <w:p w:rsidR="002A771A" w:rsidRPr="00A50798" w:rsidRDefault="002A771A" w:rsidP="008F3C1C">
            <w:pPr>
              <w:widowControl/>
              <w:ind w:left="400" w:hangingChars="200" w:hanging="400"/>
              <w:rPr>
                <w:rFonts w:eastAsia="標楷體"/>
                <w:kern w:val="0"/>
                <w:sz w:val="20"/>
                <w:szCs w:val="20"/>
              </w:rPr>
            </w:pPr>
            <w:r w:rsidRPr="00A50798">
              <w:rPr>
                <w:rFonts w:eastAsia="標楷體" w:hint="eastAsia"/>
                <w:kern w:val="0"/>
                <w:sz w:val="20"/>
                <w:szCs w:val="20"/>
              </w:rPr>
              <w:t>(12)</w:t>
            </w:r>
            <w:r w:rsidRPr="00A50798">
              <w:rPr>
                <w:rFonts w:eastAsia="標楷體" w:hint="eastAsia"/>
                <w:kern w:val="0"/>
                <w:sz w:val="20"/>
                <w:szCs w:val="20"/>
              </w:rPr>
              <w:t>普通股權益比率</w:t>
            </w:r>
            <w:r w:rsidRPr="00A50798">
              <w:rPr>
                <w:rFonts w:eastAsia="標楷體" w:hint="eastAsia"/>
                <w:kern w:val="0"/>
                <w:sz w:val="20"/>
                <w:szCs w:val="20"/>
              </w:rPr>
              <w:t>=(8)</w:t>
            </w:r>
            <w:r w:rsidRPr="00A50798">
              <w:rPr>
                <w:rFonts w:eastAsia="標楷體" w:hint="eastAsia"/>
                <w:kern w:val="0"/>
                <w:sz w:val="20"/>
                <w:szCs w:val="20"/>
              </w:rPr>
              <w:t>／</w:t>
            </w:r>
            <w:r w:rsidRPr="00A50798">
              <w:rPr>
                <w:rFonts w:eastAsia="標楷體" w:hint="eastAsia"/>
                <w:kern w:val="0"/>
                <w:sz w:val="20"/>
                <w:szCs w:val="20"/>
              </w:rPr>
              <w:t>(4)</w:t>
            </w:r>
          </w:p>
          <w:p w:rsidR="002A771A" w:rsidRPr="00A50798" w:rsidRDefault="002A771A" w:rsidP="008F3C1C">
            <w:pPr>
              <w:widowControl/>
              <w:ind w:left="300" w:hangingChars="150" w:hanging="300"/>
              <w:rPr>
                <w:rFonts w:eastAsia="標楷體"/>
                <w:kern w:val="0"/>
                <w:sz w:val="20"/>
                <w:szCs w:val="20"/>
              </w:rPr>
            </w:pPr>
            <w:r w:rsidRPr="00A50798">
              <w:rPr>
                <w:rFonts w:eastAsia="標楷體" w:hint="eastAsia"/>
                <w:kern w:val="0"/>
                <w:sz w:val="20"/>
                <w:szCs w:val="20"/>
              </w:rPr>
              <w:t>(13)</w:t>
            </w:r>
            <w:r w:rsidRPr="00A50798">
              <w:rPr>
                <w:rFonts w:eastAsia="標楷體" w:hint="eastAsia"/>
                <w:kern w:val="0"/>
                <w:sz w:val="20"/>
                <w:szCs w:val="20"/>
              </w:rPr>
              <w:t>第一類資本比率</w:t>
            </w:r>
            <w:r w:rsidRPr="00A50798">
              <w:rPr>
                <w:rFonts w:eastAsia="標楷體" w:hint="eastAsia"/>
                <w:kern w:val="0"/>
                <w:sz w:val="20"/>
                <w:szCs w:val="20"/>
              </w:rPr>
              <w:t>=</w:t>
            </w:r>
            <w:r w:rsidRPr="00A50798">
              <w:rPr>
                <w:rFonts w:eastAsia="標楷體" w:hint="eastAsia"/>
                <w:kern w:val="0"/>
                <w:sz w:val="20"/>
                <w:szCs w:val="20"/>
              </w:rPr>
              <w:t>【</w:t>
            </w:r>
            <w:r w:rsidRPr="00A50798">
              <w:rPr>
                <w:rFonts w:eastAsia="標楷體" w:hint="eastAsia"/>
                <w:kern w:val="0"/>
                <w:sz w:val="20"/>
                <w:szCs w:val="20"/>
              </w:rPr>
              <w:t>(8</w:t>
            </w:r>
            <w:r w:rsidRPr="00A50798">
              <w:rPr>
                <w:rFonts w:ascii="標楷體" w:eastAsia="標楷體" w:hAnsi="標楷體" w:hint="eastAsia"/>
                <w:kern w:val="0"/>
                <w:sz w:val="20"/>
                <w:szCs w:val="20"/>
              </w:rPr>
              <w:t>)＋(9)</w:t>
            </w:r>
            <w:r w:rsidRPr="00A50798">
              <w:rPr>
                <w:rFonts w:eastAsia="標楷體" w:hint="eastAsia"/>
                <w:kern w:val="0"/>
                <w:sz w:val="20"/>
                <w:szCs w:val="20"/>
              </w:rPr>
              <w:t>】</w:t>
            </w:r>
            <w:r w:rsidRPr="00A50798">
              <w:rPr>
                <w:rFonts w:ascii="標楷體" w:eastAsia="標楷體" w:hAnsi="標楷體" w:hint="eastAsia"/>
                <w:kern w:val="0"/>
                <w:sz w:val="20"/>
                <w:szCs w:val="20"/>
              </w:rPr>
              <w:t>／(4)</w:t>
            </w:r>
          </w:p>
          <w:p w:rsidR="002A771A" w:rsidRPr="00A50798" w:rsidRDefault="002A771A" w:rsidP="008F3C1C">
            <w:pPr>
              <w:widowControl/>
              <w:ind w:left="300" w:hangingChars="150" w:hanging="300"/>
              <w:jc w:val="both"/>
              <w:rPr>
                <w:rFonts w:eastAsia="標楷體"/>
                <w:kern w:val="0"/>
                <w:sz w:val="20"/>
                <w:szCs w:val="20"/>
              </w:rPr>
            </w:pPr>
            <w:r w:rsidRPr="00A50798">
              <w:rPr>
                <w:rFonts w:eastAsia="標楷體" w:hint="eastAsia"/>
                <w:kern w:val="0"/>
                <w:sz w:val="20"/>
                <w:szCs w:val="20"/>
              </w:rPr>
              <w:t>(14)</w:t>
            </w:r>
            <w:r w:rsidRPr="00A50798">
              <w:rPr>
                <w:rFonts w:eastAsia="標楷體" w:hint="eastAsia"/>
                <w:kern w:val="0"/>
                <w:sz w:val="20"/>
                <w:szCs w:val="20"/>
              </w:rPr>
              <w:t>資本適足率</w:t>
            </w:r>
            <w:r w:rsidRPr="00A50798">
              <w:rPr>
                <w:rFonts w:eastAsia="標楷體" w:hint="eastAsia"/>
                <w:kern w:val="0"/>
                <w:sz w:val="20"/>
                <w:szCs w:val="20"/>
              </w:rPr>
              <w:t>=(11</w:t>
            </w:r>
            <w:r w:rsidRPr="00A50798">
              <w:rPr>
                <w:rFonts w:ascii="標楷體" w:eastAsia="標楷體" w:hAnsi="標楷體" w:hint="eastAsia"/>
                <w:kern w:val="0"/>
                <w:sz w:val="20"/>
                <w:szCs w:val="20"/>
              </w:rPr>
              <w:t>)／(4)</w:t>
            </w:r>
          </w:p>
        </w:tc>
        <w:tc>
          <w:tcPr>
            <w:tcW w:w="2210" w:type="dxa"/>
            <w:vMerge w:val="restart"/>
            <w:tcBorders>
              <w:top w:val="single" w:sz="4" w:space="0" w:color="auto"/>
              <w:left w:val="nil"/>
              <w:right w:val="single" w:sz="4" w:space="0" w:color="auto"/>
            </w:tcBorders>
            <w:noWrap/>
          </w:tcPr>
          <w:p w:rsidR="002A771A" w:rsidRPr="00C9603F" w:rsidRDefault="002A771A" w:rsidP="008F3C1C">
            <w:pPr>
              <w:ind w:left="300" w:hangingChars="150" w:hanging="300"/>
              <w:jc w:val="both"/>
              <w:rPr>
                <w:rFonts w:eastAsia="標楷體"/>
                <w:kern w:val="0"/>
                <w:sz w:val="20"/>
                <w:szCs w:val="20"/>
              </w:rPr>
            </w:pPr>
            <w:r w:rsidRPr="00C9603F">
              <w:rPr>
                <w:rFonts w:eastAsia="標楷體" w:hint="eastAsia"/>
                <w:kern w:val="0"/>
                <w:sz w:val="20"/>
                <w:szCs w:val="20"/>
              </w:rPr>
              <w:t>(15)</w:t>
            </w:r>
            <w:r w:rsidRPr="00C9603F">
              <w:rPr>
                <w:rFonts w:eastAsia="標楷體" w:hint="eastAsia"/>
                <w:kern w:val="0"/>
                <w:sz w:val="20"/>
                <w:szCs w:val="20"/>
              </w:rPr>
              <w:t>第一類資本淨額：</w:t>
            </w:r>
          </w:p>
          <w:p w:rsidR="002A771A" w:rsidRPr="00C9603F" w:rsidRDefault="002A771A" w:rsidP="008F3C1C">
            <w:pPr>
              <w:ind w:leftChars="126" w:left="302"/>
              <w:jc w:val="both"/>
              <w:rPr>
                <w:rFonts w:eastAsia="標楷體"/>
                <w:kern w:val="0"/>
                <w:sz w:val="20"/>
                <w:szCs w:val="20"/>
                <w:u w:val="single"/>
              </w:rPr>
            </w:pPr>
            <w:r w:rsidRPr="00C9603F">
              <w:rPr>
                <w:rFonts w:eastAsia="標楷體" w:hint="eastAsia"/>
                <w:kern w:val="0"/>
                <w:sz w:val="20"/>
                <w:szCs w:val="20"/>
                <w:u w:val="single"/>
              </w:rPr>
              <w:t xml:space="preserve">$          </w:t>
            </w:r>
          </w:p>
          <w:p w:rsidR="002A771A" w:rsidRPr="00943FF2" w:rsidRDefault="002A771A" w:rsidP="008F3C1C">
            <w:pPr>
              <w:ind w:leftChars="126" w:left="302"/>
              <w:jc w:val="both"/>
              <w:rPr>
                <w:rFonts w:eastAsia="標楷體"/>
                <w:kern w:val="0"/>
                <w:sz w:val="20"/>
                <w:szCs w:val="20"/>
                <w:u w:val="single"/>
              </w:rPr>
            </w:pPr>
            <w:r w:rsidRPr="00943FF2">
              <w:rPr>
                <w:rFonts w:eastAsia="標楷體" w:hint="eastAsia"/>
                <w:kern w:val="0"/>
                <w:sz w:val="20"/>
                <w:szCs w:val="20"/>
                <w:u w:val="single"/>
              </w:rPr>
              <w:t>(15)= (8</w:t>
            </w:r>
            <w:r w:rsidRPr="00943FF2">
              <w:rPr>
                <w:rFonts w:ascii="標楷體" w:eastAsia="標楷體" w:hAnsi="標楷體" w:hint="eastAsia"/>
                <w:kern w:val="0"/>
                <w:sz w:val="20"/>
                <w:szCs w:val="20"/>
                <w:u w:val="single"/>
              </w:rPr>
              <w:t>)＋(9)</w:t>
            </w:r>
          </w:p>
          <w:p w:rsidR="002A771A" w:rsidRPr="00943FF2" w:rsidRDefault="002A771A" w:rsidP="008F3C1C">
            <w:pPr>
              <w:ind w:left="300" w:hangingChars="150" w:hanging="300"/>
              <w:jc w:val="both"/>
              <w:rPr>
                <w:rFonts w:eastAsia="標楷體"/>
                <w:kern w:val="0"/>
                <w:sz w:val="20"/>
                <w:szCs w:val="20"/>
              </w:rPr>
            </w:pPr>
            <w:r w:rsidRPr="00943FF2">
              <w:rPr>
                <w:rFonts w:eastAsia="標楷體" w:hint="eastAsia"/>
                <w:kern w:val="0"/>
                <w:sz w:val="20"/>
                <w:szCs w:val="20"/>
              </w:rPr>
              <w:t>(16)</w:t>
            </w:r>
            <w:proofErr w:type="gramStart"/>
            <w:r w:rsidRPr="00943FF2">
              <w:rPr>
                <w:rFonts w:eastAsia="標楷體" w:hint="eastAsia"/>
                <w:kern w:val="0"/>
                <w:sz w:val="20"/>
                <w:szCs w:val="20"/>
              </w:rPr>
              <w:t>暴險總額</w:t>
            </w:r>
            <w:proofErr w:type="gramEnd"/>
            <w:r w:rsidRPr="00943FF2">
              <w:rPr>
                <w:rFonts w:eastAsia="標楷體" w:hint="eastAsia"/>
                <w:kern w:val="0"/>
                <w:sz w:val="20"/>
                <w:szCs w:val="20"/>
              </w:rPr>
              <w:t>：</w:t>
            </w:r>
          </w:p>
          <w:p w:rsidR="002A771A" w:rsidRPr="00C9603F" w:rsidRDefault="002A771A" w:rsidP="008F3C1C">
            <w:pPr>
              <w:ind w:leftChars="126" w:left="302"/>
              <w:jc w:val="both"/>
              <w:rPr>
                <w:rFonts w:eastAsia="標楷體"/>
                <w:strike/>
                <w:kern w:val="0"/>
                <w:sz w:val="20"/>
                <w:szCs w:val="20"/>
                <w:u w:val="single"/>
              </w:rPr>
            </w:pPr>
            <w:r w:rsidRPr="00C9603F">
              <w:rPr>
                <w:rFonts w:eastAsia="標楷體" w:hint="eastAsia"/>
                <w:kern w:val="0"/>
                <w:sz w:val="20"/>
                <w:szCs w:val="20"/>
                <w:u w:val="single"/>
              </w:rPr>
              <w:t xml:space="preserve">$          </w:t>
            </w:r>
          </w:p>
        </w:tc>
      </w:tr>
      <w:tr w:rsidR="002A771A" w:rsidRPr="00A50798" w:rsidTr="008F3C1C">
        <w:trPr>
          <w:cantSplit/>
          <w:trHeight w:val="360"/>
          <w:jc w:val="center"/>
        </w:trPr>
        <w:tc>
          <w:tcPr>
            <w:tcW w:w="1539" w:type="dxa"/>
            <w:vMerge/>
            <w:tcBorders>
              <w:left w:val="single" w:sz="4" w:space="0" w:color="auto"/>
              <w:bottom w:val="single" w:sz="4" w:space="0" w:color="auto"/>
              <w:right w:val="single" w:sz="4" w:space="0" w:color="auto"/>
            </w:tcBorders>
            <w:noWrap/>
          </w:tcPr>
          <w:p w:rsidR="002A771A" w:rsidRPr="00A50798" w:rsidRDefault="002A771A" w:rsidP="008F3C1C">
            <w:pPr>
              <w:rPr>
                <w:rFonts w:ascii="標楷體" w:eastAsia="標楷體" w:hAnsi="標楷體" w:cs="新細明體"/>
                <w:kern w:val="0"/>
                <w:sz w:val="20"/>
                <w:szCs w:val="20"/>
              </w:rPr>
            </w:pPr>
          </w:p>
        </w:tc>
        <w:tc>
          <w:tcPr>
            <w:tcW w:w="1598" w:type="dxa"/>
            <w:vMerge/>
            <w:tcBorders>
              <w:left w:val="nil"/>
              <w:bottom w:val="single" w:sz="4" w:space="0" w:color="auto"/>
              <w:right w:val="single" w:sz="4" w:space="0" w:color="auto"/>
            </w:tcBorders>
            <w:noWrap/>
          </w:tcPr>
          <w:p w:rsidR="002A771A" w:rsidRPr="00A50798" w:rsidRDefault="002A771A" w:rsidP="008F3C1C">
            <w:pPr>
              <w:jc w:val="both"/>
              <w:rPr>
                <w:rFonts w:ascii="標楷體" w:eastAsia="標楷體" w:hAnsi="標楷體" w:cs="新細明體"/>
                <w:kern w:val="0"/>
                <w:sz w:val="20"/>
                <w:szCs w:val="20"/>
              </w:rPr>
            </w:pPr>
          </w:p>
        </w:tc>
        <w:tc>
          <w:tcPr>
            <w:tcW w:w="2340" w:type="dxa"/>
            <w:vMerge w:val="restart"/>
            <w:tcBorders>
              <w:top w:val="nil"/>
              <w:left w:val="nil"/>
              <w:bottom w:val="nil"/>
              <w:right w:val="single" w:sz="4" w:space="0" w:color="auto"/>
            </w:tcBorders>
            <w:noWrap/>
          </w:tcPr>
          <w:p w:rsidR="002A771A" w:rsidRPr="00A50798" w:rsidRDefault="002A771A" w:rsidP="008F3C1C">
            <w:pPr>
              <w:widowControl/>
              <w:ind w:left="300" w:hangingChars="150" w:hanging="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(9)非普通股權益之其他第一類資本淨額：</w:t>
            </w:r>
          </w:p>
          <w:p w:rsidR="002A771A" w:rsidRPr="00A50798" w:rsidRDefault="002A771A" w:rsidP="008F3C1C">
            <w:pPr>
              <w:widowControl/>
              <w:ind w:firstLineChars="150" w:firstLine="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$__________</w:t>
            </w:r>
          </w:p>
        </w:tc>
        <w:tc>
          <w:tcPr>
            <w:tcW w:w="2160" w:type="dxa"/>
            <w:vMerge/>
            <w:tcBorders>
              <w:left w:val="nil"/>
              <w:right w:val="single" w:sz="4" w:space="0" w:color="auto"/>
            </w:tcBorders>
            <w:noWrap/>
          </w:tcPr>
          <w:p w:rsidR="002A771A" w:rsidRPr="00A50798" w:rsidRDefault="002A771A" w:rsidP="008F3C1C">
            <w:pPr>
              <w:rPr>
                <w:rFonts w:ascii="標楷體" w:eastAsia="標楷體" w:hAnsi="標楷體" w:cs="新細明體"/>
                <w:kern w:val="0"/>
                <w:sz w:val="20"/>
                <w:szCs w:val="20"/>
              </w:rPr>
            </w:pPr>
          </w:p>
        </w:tc>
        <w:tc>
          <w:tcPr>
            <w:tcW w:w="2210" w:type="dxa"/>
            <w:vMerge/>
            <w:tcBorders>
              <w:left w:val="nil"/>
              <w:right w:val="single" w:sz="4" w:space="0" w:color="auto"/>
            </w:tcBorders>
            <w:noWrap/>
          </w:tcPr>
          <w:p w:rsidR="002A771A" w:rsidRPr="00A50798" w:rsidRDefault="002A771A" w:rsidP="008F3C1C">
            <w:pPr>
              <w:jc w:val="both"/>
              <w:rPr>
                <w:rFonts w:ascii="標楷體" w:eastAsia="標楷體" w:hAnsi="標楷體" w:cs="新細明體"/>
                <w:kern w:val="0"/>
                <w:sz w:val="20"/>
                <w:szCs w:val="20"/>
              </w:rPr>
            </w:pPr>
          </w:p>
        </w:tc>
      </w:tr>
      <w:tr w:rsidR="002A771A" w:rsidRPr="00A50798" w:rsidTr="008F3C1C">
        <w:trPr>
          <w:cantSplit/>
          <w:trHeight w:val="360"/>
          <w:jc w:val="center"/>
        </w:trPr>
        <w:tc>
          <w:tcPr>
            <w:tcW w:w="1539" w:type="dxa"/>
            <w:vMerge w:val="restart"/>
            <w:tcBorders>
              <w:top w:val="nil"/>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(2)</w:t>
            </w:r>
            <w:r w:rsidRPr="00A50798">
              <w:rPr>
                <w:rFonts w:eastAsia="標楷體" w:hint="eastAsia"/>
                <w:kern w:val="0"/>
                <w:sz w:val="20"/>
                <w:szCs w:val="20"/>
              </w:rPr>
              <w:t>作業風險：</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nil"/>
              <w:left w:val="nil"/>
              <w:bottom w:val="nil"/>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(6)</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right w:val="single" w:sz="4" w:space="0" w:color="auto"/>
            </w:tcBorders>
            <w:noWrap/>
            <w:vAlign w:val="bottom"/>
          </w:tcPr>
          <w:p w:rsidR="002A771A" w:rsidRPr="00A50798" w:rsidRDefault="002A771A" w:rsidP="008F3C1C">
            <w:pPr>
              <w:jc w:val="both"/>
              <w:rPr>
                <w:rFonts w:eastAsia="標楷體"/>
                <w:kern w:val="0"/>
                <w:sz w:val="20"/>
                <w:szCs w:val="20"/>
              </w:rPr>
            </w:pPr>
          </w:p>
        </w:tc>
        <w:tc>
          <w:tcPr>
            <w:tcW w:w="2160" w:type="dxa"/>
            <w:vMerge/>
            <w:tcBorders>
              <w:left w:val="nil"/>
              <w:right w:val="single" w:sz="4" w:space="0" w:color="auto"/>
            </w:tcBorders>
            <w:noWrap/>
          </w:tcPr>
          <w:p w:rsidR="002A771A" w:rsidRPr="00A50798" w:rsidRDefault="002A771A" w:rsidP="008F3C1C">
            <w:pPr>
              <w:rPr>
                <w:rFonts w:eastAsia="標楷體"/>
                <w:kern w:val="0"/>
                <w:sz w:val="20"/>
                <w:szCs w:val="20"/>
              </w:rPr>
            </w:pPr>
          </w:p>
        </w:tc>
        <w:tc>
          <w:tcPr>
            <w:tcW w:w="2210" w:type="dxa"/>
            <w:vMerge/>
            <w:tcBorders>
              <w:left w:val="nil"/>
              <w:right w:val="single" w:sz="4" w:space="0" w:color="auto"/>
            </w:tcBorders>
            <w:noWrap/>
          </w:tcPr>
          <w:p w:rsidR="002A771A" w:rsidRPr="00A50798" w:rsidRDefault="002A771A" w:rsidP="008F3C1C">
            <w:pPr>
              <w:jc w:val="both"/>
              <w:rPr>
                <w:rFonts w:eastAsia="標楷體"/>
                <w:kern w:val="0"/>
                <w:sz w:val="20"/>
                <w:szCs w:val="20"/>
              </w:rPr>
            </w:pPr>
          </w:p>
        </w:tc>
      </w:tr>
      <w:tr w:rsidR="002A771A" w:rsidRPr="00A50798" w:rsidTr="008F3C1C">
        <w:trPr>
          <w:cantSplit/>
          <w:trHeight w:val="628"/>
          <w:jc w:val="center"/>
        </w:trPr>
        <w:tc>
          <w:tcPr>
            <w:tcW w:w="1539" w:type="dxa"/>
            <w:vMerge/>
            <w:tcBorders>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p>
        </w:tc>
        <w:tc>
          <w:tcPr>
            <w:tcW w:w="1598" w:type="dxa"/>
            <w:vMerge/>
            <w:tcBorders>
              <w:left w:val="nil"/>
              <w:bottom w:val="single" w:sz="4" w:space="0" w:color="auto"/>
              <w:right w:val="single" w:sz="4" w:space="0" w:color="auto"/>
            </w:tcBorders>
            <w:noWrap/>
          </w:tcPr>
          <w:p w:rsidR="002A771A" w:rsidRPr="00A50798" w:rsidRDefault="002A771A" w:rsidP="008F3C1C">
            <w:pPr>
              <w:jc w:val="both"/>
              <w:rPr>
                <w:rFonts w:eastAsia="標楷體"/>
                <w:kern w:val="0"/>
                <w:sz w:val="20"/>
                <w:szCs w:val="20"/>
              </w:rPr>
            </w:pPr>
          </w:p>
        </w:tc>
        <w:tc>
          <w:tcPr>
            <w:tcW w:w="2340" w:type="dxa"/>
            <w:vMerge w:val="restart"/>
            <w:tcBorders>
              <w:top w:val="nil"/>
              <w:left w:val="nil"/>
              <w:bottom w:val="single" w:sz="4" w:space="0" w:color="auto"/>
              <w:right w:val="single" w:sz="4" w:space="0" w:color="auto"/>
            </w:tcBorders>
            <w:noWrap/>
          </w:tcPr>
          <w:p w:rsidR="002A771A" w:rsidRPr="00A50798" w:rsidRDefault="002A771A" w:rsidP="008F3C1C">
            <w:pPr>
              <w:widowControl/>
              <w:ind w:left="300" w:hangingChars="150" w:hanging="300"/>
              <w:jc w:val="both"/>
              <w:rPr>
                <w:rFonts w:eastAsia="標楷體"/>
                <w:kern w:val="0"/>
                <w:sz w:val="20"/>
                <w:szCs w:val="20"/>
              </w:rPr>
            </w:pPr>
            <w:r w:rsidRPr="00A50798">
              <w:rPr>
                <w:rFonts w:eastAsia="標楷體" w:hint="eastAsia"/>
                <w:kern w:val="0"/>
                <w:sz w:val="20"/>
                <w:szCs w:val="20"/>
              </w:rPr>
              <w:t>(10)</w:t>
            </w:r>
            <w:r w:rsidRPr="00A50798">
              <w:rPr>
                <w:rFonts w:eastAsia="標楷體" w:hint="eastAsia"/>
                <w:kern w:val="0"/>
                <w:sz w:val="20"/>
                <w:szCs w:val="20"/>
              </w:rPr>
              <w:t>第二類資本淨額：</w:t>
            </w:r>
          </w:p>
          <w:p w:rsidR="002A771A" w:rsidRPr="00A50798" w:rsidRDefault="002A771A" w:rsidP="008F3C1C">
            <w:pPr>
              <w:widowControl/>
              <w:ind w:firstLineChars="150" w:firstLine="300"/>
              <w:jc w:val="both"/>
              <w:rPr>
                <w:rFonts w:eastAsia="標楷體"/>
                <w:kern w:val="0"/>
                <w:sz w:val="20"/>
                <w:szCs w:val="20"/>
              </w:rPr>
            </w:pPr>
            <w:r w:rsidRPr="00A50798">
              <w:rPr>
                <w:rFonts w:eastAsia="標楷體" w:hint="eastAsia"/>
                <w:kern w:val="0"/>
                <w:sz w:val="20"/>
                <w:szCs w:val="20"/>
              </w:rPr>
              <w:t>$__________</w:t>
            </w:r>
          </w:p>
        </w:tc>
        <w:tc>
          <w:tcPr>
            <w:tcW w:w="2160" w:type="dxa"/>
            <w:vMerge/>
            <w:tcBorders>
              <w:left w:val="nil"/>
              <w:right w:val="single" w:sz="4" w:space="0" w:color="auto"/>
            </w:tcBorders>
            <w:noWrap/>
          </w:tcPr>
          <w:p w:rsidR="002A771A" w:rsidRPr="00A50798" w:rsidRDefault="002A771A" w:rsidP="008F3C1C">
            <w:pPr>
              <w:rPr>
                <w:rFonts w:eastAsia="標楷體"/>
                <w:kern w:val="0"/>
                <w:sz w:val="20"/>
                <w:szCs w:val="20"/>
              </w:rPr>
            </w:pPr>
          </w:p>
        </w:tc>
        <w:tc>
          <w:tcPr>
            <w:tcW w:w="2210" w:type="dxa"/>
            <w:vMerge/>
            <w:tcBorders>
              <w:left w:val="nil"/>
              <w:right w:val="single" w:sz="4" w:space="0" w:color="auto"/>
            </w:tcBorders>
            <w:noWrap/>
            <w:vAlign w:val="bottom"/>
          </w:tcPr>
          <w:p w:rsidR="002A771A" w:rsidRPr="00A50798" w:rsidRDefault="002A771A" w:rsidP="008F3C1C">
            <w:pPr>
              <w:jc w:val="both"/>
              <w:rPr>
                <w:rFonts w:eastAsia="標楷體"/>
                <w:kern w:val="0"/>
                <w:sz w:val="20"/>
                <w:szCs w:val="20"/>
              </w:rPr>
            </w:pPr>
          </w:p>
        </w:tc>
      </w:tr>
      <w:tr w:rsidR="002A771A" w:rsidRPr="00A50798" w:rsidTr="008F3C1C">
        <w:trPr>
          <w:cantSplit/>
          <w:trHeight w:val="874"/>
          <w:jc w:val="center"/>
        </w:trPr>
        <w:tc>
          <w:tcPr>
            <w:tcW w:w="1539" w:type="dxa"/>
            <w:tcBorders>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(3)</w:t>
            </w:r>
            <w:r w:rsidRPr="00A50798">
              <w:rPr>
                <w:rFonts w:eastAsia="標楷體" w:hint="eastAsia"/>
                <w:kern w:val="0"/>
                <w:sz w:val="20"/>
                <w:szCs w:val="20"/>
              </w:rPr>
              <w:t>市場風險：</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(7)</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bottom w:val="single" w:sz="4" w:space="0" w:color="auto"/>
              <w:right w:val="single" w:sz="4" w:space="0" w:color="auto"/>
            </w:tcBorders>
            <w:noWrap/>
            <w:vAlign w:val="bottom"/>
          </w:tcPr>
          <w:p w:rsidR="002A771A" w:rsidRPr="00A50798" w:rsidRDefault="002A771A" w:rsidP="008F3C1C">
            <w:pPr>
              <w:jc w:val="both"/>
              <w:rPr>
                <w:rFonts w:eastAsia="標楷體"/>
                <w:kern w:val="0"/>
                <w:sz w:val="20"/>
                <w:szCs w:val="20"/>
              </w:rPr>
            </w:pPr>
          </w:p>
        </w:tc>
        <w:tc>
          <w:tcPr>
            <w:tcW w:w="2160" w:type="dxa"/>
            <w:vMerge/>
            <w:tcBorders>
              <w:left w:val="nil"/>
              <w:bottom w:val="single" w:sz="4" w:space="0" w:color="auto"/>
              <w:right w:val="single" w:sz="4" w:space="0" w:color="auto"/>
            </w:tcBorders>
            <w:noWrap/>
            <w:vAlign w:val="center"/>
          </w:tcPr>
          <w:p w:rsidR="002A771A" w:rsidRPr="00A50798" w:rsidRDefault="002A771A" w:rsidP="008F3C1C">
            <w:pPr>
              <w:rPr>
                <w:rFonts w:eastAsia="標楷體"/>
                <w:kern w:val="0"/>
                <w:sz w:val="20"/>
                <w:szCs w:val="20"/>
              </w:rPr>
            </w:pPr>
          </w:p>
        </w:tc>
        <w:tc>
          <w:tcPr>
            <w:tcW w:w="2210" w:type="dxa"/>
            <w:vMerge/>
            <w:tcBorders>
              <w:left w:val="nil"/>
              <w:bottom w:val="single" w:sz="4" w:space="0" w:color="auto"/>
              <w:right w:val="single" w:sz="4" w:space="0" w:color="auto"/>
            </w:tcBorders>
            <w:noWrap/>
            <w:vAlign w:val="bottom"/>
          </w:tcPr>
          <w:p w:rsidR="002A771A" w:rsidRPr="00A50798" w:rsidRDefault="002A771A" w:rsidP="008F3C1C">
            <w:pPr>
              <w:jc w:val="both"/>
              <w:rPr>
                <w:rFonts w:eastAsia="標楷體"/>
                <w:kern w:val="0"/>
                <w:sz w:val="20"/>
                <w:szCs w:val="20"/>
              </w:rPr>
            </w:pPr>
          </w:p>
        </w:tc>
      </w:tr>
      <w:tr w:rsidR="002A771A" w:rsidRPr="00A50798" w:rsidTr="008F3C1C">
        <w:trPr>
          <w:trHeight w:val="2609"/>
          <w:jc w:val="center"/>
        </w:trPr>
        <w:tc>
          <w:tcPr>
            <w:tcW w:w="1539" w:type="dxa"/>
            <w:tcBorders>
              <w:top w:val="single" w:sz="4" w:space="0" w:color="auto"/>
              <w:left w:val="single" w:sz="4" w:space="0" w:color="auto"/>
              <w:bottom w:val="single" w:sz="4" w:space="0" w:color="auto"/>
              <w:right w:val="single" w:sz="4" w:space="0" w:color="auto"/>
            </w:tcBorders>
            <w:noWrap/>
          </w:tcPr>
          <w:p w:rsidR="002A771A" w:rsidRPr="00A50798" w:rsidRDefault="002A771A" w:rsidP="008F3C1C">
            <w:pPr>
              <w:widowControl/>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0"/>
                <w:szCs w:val="20"/>
              </w:rPr>
              <w:t>合計：</w:t>
            </w:r>
          </w:p>
          <w:p w:rsidR="002A771A" w:rsidRPr="00A50798" w:rsidRDefault="002A771A" w:rsidP="008F3C1C">
            <w:pPr>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8"/>
                <w:szCs w:val="28"/>
              </w:rPr>
              <w:t>=</w:t>
            </w:r>
            <w:r w:rsidRPr="00A50798">
              <w:rPr>
                <w:rFonts w:eastAsia="標楷體" w:hint="eastAsia"/>
                <w:kern w:val="0"/>
                <w:sz w:val="20"/>
                <w:szCs w:val="20"/>
              </w:rPr>
              <w:t>(1)</w:t>
            </w:r>
            <w:r w:rsidRPr="00A50798">
              <w:rPr>
                <w:rFonts w:eastAsia="標楷體" w:hint="eastAsia"/>
                <w:kern w:val="0"/>
                <w:sz w:val="20"/>
                <w:szCs w:val="20"/>
              </w:rPr>
              <w:t>＋</w:t>
            </w:r>
            <w:r w:rsidRPr="00A50798">
              <w:rPr>
                <w:rFonts w:eastAsia="標楷體" w:hint="eastAsia"/>
                <w:kern w:val="0"/>
                <w:sz w:val="20"/>
                <w:szCs w:val="20"/>
              </w:rPr>
              <w:t>(2)</w:t>
            </w:r>
            <w:r w:rsidRPr="00A50798">
              <w:rPr>
                <w:rFonts w:eastAsia="標楷體" w:hint="eastAsia"/>
                <w:kern w:val="0"/>
                <w:sz w:val="20"/>
                <w:szCs w:val="20"/>
              </w:rPr>
              <w:t>＋</w:t>
            </w:r>
            <w:r w:rsidRPr="00A50798">
              <w:rPr>
                <w:rFonts w:eastAsia="標楷體" w:hint="eastAsia"/>
                <w:kern w:val="0"/>
                <w:sz w:val="20"/>
                <w:szCs w:val="20"/>
              </w:rPr>
              <w:t>(3)</w:t>
            </w:r>
          </w:p>
        </w:tc>
        <w:tc>
          <w:tcPr>
            <w:tcW w:w="1598" w:type="dxa"/>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說明：</w:t>
            </w:r>
          </w:p>
          <w:p w:rsidR="002A771A" w:rsidRPr="00A50798" w:rsidRDefault="002A771A" w:rsidP="008F3C1C">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5</w:t>
            </w:r>
            <w:r w:rsidRPr="00A50798">
              <w:rPr>
                <w:rFonts w:eastAsia="標楷體"/>
                <w:kern w:val="0"/>
                <w:sz w:val="20"/>
                <w:szCs w:val="20"/>
              </w:rPr>
              <w:t>)</w:t>
            </w:r>
            <w:r w:rsidRPr="00A50798">
              <w:rPr>
                <w:rFonts w:eastAsia="標楷體"/>
                <w:kern w:val="0"/>
                <w:sz w:val="28"/>
                <w:szCs w:val="28"/>
              </w:rPr>
              <w:t>=</w:t>
            </w:r>
            <w:r w:rsidRPr="00A50798">
              <w:rPr>
                <w:rFonts w:eastAsia="標楷體"/>
                <w:kern w:val="0"/>
                <w:sz w:val="20"/>
                <w:szCs w:val="20"/>
              </w:rPr>
              <w:t>(1)×8%</w:t>
            </w:r>
          </w:p>
          <w:p w:rsidR="002A771A" w:rsidRPr="00A50798" w:rsidRDefault="002A771A" w:rsidP="008F3C1C">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6</w:t>
            </w:r>
            <w:r w:rsidRPr="00A50798">
              <w:rPr>
                <w:rFonts w:eastAsia="標楷體"/>
                <w:kern w:val="0"/>
                <w:sz w:val="20"/>
                <w:szCs w:val="20"/>
              </w:rPr>
              <w:t>)=(2)×8%</w:t>
            </w:r>
          </w:p>
          <w:p w:rsidR="002A771A" w:rsidRPr="00A50798" w:rsidRDefault="002A771A" w:rsidP="008F3C1C">
            <w:pPr>
              <w:rPr>
                <w:rFonts w:eastAsia="標楷體"/>
                <w:kern w:val="0"/>
                <w:sz w:val="20"/>
                <w:szCs w:val="20"/>
              </w:rPr>
            </w:pPr>
            <w:r w:rsidRPr="00A50798">
              <w:rPr>
                <w:rFonts w:eastAsia="標楷體" w:hint="eastAsia"/>
                <w:kern w:val="0"/>
                <w:sz w:val="20"/>
                <w:szCs w:val="20"/>
              </w:rPr>
              <w:t>(7)=(3)</w:t>
            </w:r>
            <w:r w:rsidRPr="00A50798">
              <w:rPr>
                <w:rFonts w:eastAsia="標楷體" w:hint="eastAsia"/>
                <w:kern w:val="0"/>
                <w:sz w:val="20"/>
                <w:szCs w:val="20"/>
              </w:rPr>
              <w:t>×</w:t>
            </w:r>
            <w:r w:rsidRPr="00A50798">
              <w:rPr>
                <w:rFonts w:eastAsia="標楷體" w:hint="eastAsia"/>
                <w:kern w:val="0"/>
                <w:sz w:val="20"/>
                <w:szCs w:val="20"/>
              </w:rPr>
              <w:t>8%</w:t>
            </w:r>
          </w:p>
        </w:tc>
        <w:tc>
          <w:tcPr>
            <w:tcW w:w="4500" w:type="dxa"/>
            <w:gridSpan w:val="2"/>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(11)</w:t>
            </w:r>
            <w:r w:rsidRPr="00A50798">
              <w:rPr>
                <w:rFonts w:eastAsia="標楷體" w:hint="eastAsia"/>
                <w:kern w:val="0"/>
                <w:sz w:val="20"/>
                <w:szCs w:val="20"/>
              </w:rPr>
              <w:t>自有資本合計：</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(11)= (8</w:t>
            </w:r>
            <w:r w:rsidRPr="00A50798">
              <w:rPr>
                <w:rFonts w:ascii="標楷體" w:eastAsia="標楷體" w:hAnsi="標楷體" w:hint="eastAsia"/>
                <w:kern w:val="0"/>
                <w:sz w:val="20"/>
                <w:szCs w:val="20"/>
              </w:rPr>
              <w:t>)＋(9)＋(10)</w:t>
            </w:r>
          </w:p>
        </w:tc>
        <w:tc>
          <w:tcPr>
            <w:tcW w:w="2210" w:type="dxa"/>
            <w:tcBorders>
              <w:top w:val="single" w:sz="4" w:space="0" w:color="auto"/>
              <w:left w:val="nil"/>
              <w:bottom w:val="single" w:sz="4" w:space="0" w:color="auto"/>
              <w:right w:val="single" w:sz="4" w:space="0" w:color="auto"/>
            </w:tcBorders>
            <w:noWrap/>
          </w:tcPr>
          <w:p w:rsidR="002A771A" w:rsidRPr="00A50798" w:rsidRDefault="002A771A" w:rsidP="008F3C1C">
            <w:pPr>
              <w:ind w:left="400" w:hangingChars="200" w:hanging="400"/>
              <w:rPr>
                <w:rFonts w:eastAsia="標楷體"/>
                <w:kern w:val="0"/>
                <w:sz w:val="20"/>
                <w:szCs w:val="20"/>
              </w:rPr>
            </w:pPr>
            <w:r w:rsidRPr="00A50798">
              <w:rPr>
                <w:rFonts w:eastAsia="標楷體" w:hint="eastAsia"/>
                <w:kern w:val="0"/>
                <w:sz w:val="20"/>
                <w:szCs w:val="20"/>
              </w:rPr>
              <w:t xml:space="preserve"> (17)</w:t>
            </w:r>
            <w:r w:rsidRPr="00A50798">
              <w:rPr>
                <w:rFonts w:eastAsia="標楷體" w:hint="eastAsia"/>
                <w:kern w:val="0"/>
                <w:sz w:val="20"/>
                <w:szCs w:val="20"/>
              </w:rPr>
              <w:t>槓桿比率</w:t>
            </w:r>
            <w:r w:rsidRPr="00A50798">
              <w:rPr>
                <w:rFonts w:eastAsia="標楷體" w:hint="eastAsia"/>
                <w:kern w:val="0"/>
                <w:sz w:val="20"/>
                <w:szCs w:val="20"/>
              </w:rPr>
              <w:t>=(15)</w:t>
            </w:r>
            <w:r w:rsidRPr="00A50798">
              <w:rPr>
                <w:rFonts w:eastAsia="標楷體" w:hint="eastAsia"/>
                <w:kern w:val="0"/>
                <w:sz w:val="20"/>
                <w:szCs w:val="20"/>
              </w:rPr>
              <w:t>／</w:t>
            </w:r>
            <w:r w:rsidRPr="00A50798">
              <w:rPr>
                <w:rFonts w:eastAsia="標楷體" w:hint="eastAsia"/>
                <w:kern w:val="0"/>
                <w:sz w:val="20"/>
                <w:szCs w:val="20"/>
              </w:rPr>
              <w:t>(16)</w:t>
            </w:r>
          </w:p>
        </w:tc>
      </w:tr>
      <w:bookmarkEnd w:id="4"/>
    </w:tbl>
    <w:p w:rsidR="002A771A" w:rsidRDefault="002A771A" w:rsidP="002A771A">
      <w:pPr>
        <w:pStyle w:val="1"/>
        <w:spacing w:before="0" w:after="0" w:line="320" w:lineRule="exact"/>
      </w:pPr>
    </w:p>
    <w:p w:rsidR="002A771A" w:rsidRDefault="002A771A" w:rsidP="002A771A">
      <w:pPr>
        <w:rPr>
          <w:rFonts w:eastAsia="標楷體"/>
          <w:kern w:val="52"/>
          <w:sz w:val="32"/>
          <w:szCs w:val="52"/>
        </w:rPr>
      </w:pPr>
      <w:r>
        <w:br w:type="page"/>
      </w:r>
    </w:p>
    <w:p w:rsidR="002A771A" w:rsidRPr="00A50798" w:rsidRDefault="002A771A" w:rsidP="002A771A">
      <w:pPr>
        <w:pStyle w:val="1"/>
        <w:spacing w:before="0" w:after="0" w:line="320" w:lineRule="exact"/>
      </w:pPr>
      <w:r w:rsidRPr="00A50798">
        <w:rPr>
          <w:rFonts w:hint="eastAsia"/>
        </w:rPr>
        <w:lastRenderedPageBreak/>
        <w:t>壹、總表</w:t>
      </w:r>
    </w:p>
    <w:p w:rsidR="002A771A" w:rsidRPr="00A50798" w:rsidRDefault="002A771A" w:rsidP="002A771A">
      <w:pPr>
        <w:pStyle w:val="af2"/>
        <w:spacing w:after="0"/>
        <w:jc w:val="both"/>
        <w:rPr>
          <w:rFonts w:eastAsia="標楷體"/>
          <w:b/>
          <w:bCs/>
          <w:sz w:val="24"/>
        </w:rPr>
      </w:pPr>
      <w:r w:rsidRPr="00A50798">
        <w:rPr>
          <w:rFonts w:eastAsia="標楷體" w:hint="eastAsia"/>
          <w:b/>
          <w:bCs/>
          <w:sz w:val="24"/>
        </w:rPr>
        <w:t>【表</w:t>
      </w:r>
      <w:r w:rsidRPr="00A50798">
        <w:rPr>
          <w:rFonts w:eastAsia="標楷體" w:hint="eastAsia"/>
          <w:b/>
          <w:bCs/>
          <w:sz w:val="24"/>
        </w:rPr>
        <w:t>1-A1</w:t>
      </w:r>
      <w:r w:rsidRPr="00A50798">
        <w:rPr>
          <w:rFonts w:eastAsia="標楷體" w:hint="eastAsia"/>
          <w:b/>
          <w:bCs/>
          <w:sz w:val="24"/>
        </w:rPr>
        <w:t>】</w:t>
      </w:r>
      <w:r w:rsidRPr="00F75D79">
        <w:rPr>
          <w:rFonts w:eastAsia="標楷體" w:hint="eastAsia"/>
          <w:bCs/>
          <w:sz w:val="24"/>
          <w:szCs w:val="24"/>
        </w:rPr>
        <w:t>（修正前）</w:t>
      </w:r>
    </w:p>
    <w:p w:rsidR="002A771A" w:rsidRPr="00A50798" w:rsidRDefault="002A771A" w:rsidP="002A771A">
      <w:pPr>
        <w:widowControl/>
        <w:snapToGrid w:val="0"/>
        <w:jc w:val="center"/>
        <w:rPr>
          <w:rFonts w:ascii="標楷體" w:eastAsia="標楷體" w:hAnsi="標楷體"/>
        </w:rPr>
      </w:pPr>
      <w:r w:rsidRPr="00A50798">
        <w:rPr>
          <w:rFonts w:ascii="標楷體" w:eastAsia="標楷體" w:hAnsi="標楷體" w:hint="eastAsia"/>
        </w:rPr>
        <w:t>____________________________銀行</w:t>
      </w:r>
    </w:p>
    <w:tbl>
      <w:tblPr>
        <w:tblW w:w="9847" w:type="dxa"/>
        <w:jc w:val="center"/>
        <w:tblInd w:w="6134" w:type="dxa"/>
        <w:tblLayout w:type="fixed"/>
        <w:tblCellMar>
          <w:left w:w="28" w:type="dxa"/>
          <w:right w:w="28" w:type="dxa"/>
        </w:tblCellMar>
        <w:tblLook w:val="0000" w:firstRow="0" w:lastRow="0" w:firstColumn="0" w:lastColumn="0" w:noHBand="0" w:noVBand="0"/>
      </w:tblPr>
      <w:tblGrid>
        <w:gridCol w:w="1539"/>
        <w:gridCol w:w="1598"/>
        <w:gridCol w:w="2340"/>
        <w:gridCol w:w="2160"/>
        <w:gridCol w:w="2210"/>
      </w:tblGrid>
      <w:tr w:rsidR="002A771A" w:rsidRPr="00A50798" w:rsidTr="008F3C1C">
        <w:trPr>
          <w:trHeight w:val="20"/>
          <w:jc w:val="center"/>
        </w:trPr>
        <w:tc>
          <w:tcPr>
            <w:tcW w:w="9847" w:type="dxa"/>
            <w:gridSpan w:val="5"/>
            <w:noWrap/>
            <w:vAlign w:val="bottom"/>
          </w:tcPr>
          <w:p w:rsidR="002A771A" w:rsidRPr="00A50798" w:rsidRDefault="002A771A" w:rsidP="008F3C1C">
            <w:pPr>
              <w:widowControl/>
              <w:jc w:val="center"/>
              <w:rPr>
                <w:rFonts w:ascii="標楷體" w:eastAsia="標楷體" w:hAnsi="標楷體" w:cs="新細明體"/>
                <w:b/>
                <w:bCs/>
                <w:kern w:val="0"/>
              </w:rPr>
            </w:pPr>
            <w:r w:rsidRPr="00A50798">
              <w:rPr>
                <w:rFonts w:ascii="標楷體" w:eastAsia="標楷體" w:hAnsi="標楷體" w:cs="新細明體" w:hint="eastAsia"/>
                <w:b/>
                <w:bCs/>
                <w:kern w:val="0"/>
              </w:rPr>
              <w:t>自有資本與風險性資產比率及槓桿比率計算表</w:t>
            </w:r>
          </w:p>
        </w:tc>
      </w:tr>
      <w:tr w:rsidR="002A771A" w:rsidRPr="00A50798" w:rsidTr="008F3C1C">
        <w:trPr>
          <w:trHeight w:val="20"/>
          <w:jc w:val="center"/>
        </w:trPr>
        <w:tc>
          <w:tcPr>
            <w:tcW w:w="9847" w:type="dxa"/>
            <w:gridSpan w:val="5"/>
            <w:tcBorders>
              <w:bottom w:val="single" w:sz="4" w:space="0" w:color="auto"/>
            </w:tcBorders>
            <w:noWrap/>
            <w:vAlign w:val="bottom"/>
          </w:tcPr>
          <w:p w:rsidR="002A771A" w:rsidRPr="00A50798" w:rsidRDefault="002A771A" w:rsidP="008F3C1C">
            <w:pPr>
              <w:widowControl/>
              <w:wordWrap w:val="0"/>
              <w:ind w:left="432" w:firstLineChars="1095" w:firstLine="2628"/>
              <w:jc w:val="right"/>
              <w:rPr>
                <w:rFonts w:ascii="標楷體" w:eastAsia="標楷體" w:hAnsi="標楷體" w:cs="新細明體"/>
                <w:kern w:val="0"/>
              </w:rPr>
            </w:pPr>
            <w:r w:rsidRPr="00A50798">
              <w:rPr>
                <w:rFonts w:ascii="標楷體" w:eastAsia="標楷體" w:hAnsi="標楷體" w:cs="新細明體" w:hint="eastAsia"/>
                <w:kern w:val="0"/>
              </w:rPr>
              <w:t>年    月    日                單位：新臺幣千元</w:t>
            </w:r>
          </w:p>
        </w:tc>
      </w:tr>
      <w:tr w:rsidR="002A771A" w:rsidRPr="00A50798" w:rsidTr="008F3C1C">
        <w:trPr>
          <w:trHeight w:val="20"/>
          <w:jc w:val="center"/>
        </w:trPr>
        <w:tc>
          <w:tcPr>
            <w:tcW w:w="1539" w:type="dxa"/>
            <w:tcBorders>
              <w:top w:val="single" w:sz="4" w:space="0" w:color="auto"/>
              <w:left w:val="single" w:sz="4" w:space="0" w:color="auto"/>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加權風險性資產</w:t>
            </w:r>
          </w:p>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1-C)</w:t>
            </w:r>
          </w:p>
        </w:tc>
        <w:tc>
          <w:tcPr>
            <w:tcW w:w="1598"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最低資本計提</w:t>
            </w:r>
          </w:p>
        </w:tc>
        <w:tc>
          <w:tcPr>
            <w:tcW w:w="2340"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自有資本</w:t>
            </w:r>
            <w:r w:rsidRPr="00A50798">
              <w:rPr>
                <w:rStyle w:val="a8"/>
                <w:rFonts w:eastAsia="標楷體"/>
                <w:kern w:val="0"/>
                <w:sz w:val="20"/>
                <w:szCs w:val="20"/>
              </w:rPr>
              <w:footnoteReference w:id="10"/>
            </w:r>
          </w:p>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1-B)</w:t>
            </w:r>
          </w:p>
        </w:tc>
        <w:tc>
          <w:tcPr>
            <w:tcW w:w="2160"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最低資本比率</w:t>
            </w:r>
          </w:p>
        </w:tc>
        <w:tc>
          <w:tcPr>
            <w:tcW w:w="2210" w:type="dxa"/>
            <w:tcBorders>
              <w:top w:val="single" w:sz="4" w:space="0" w:color="auto"/>
              <w:left w:val="nil"/>
              <w:bottom w:val="single" w:sz="4" w:space="0" w:color="auto"/>
              <w:right w:val="single" w:sz="4" w:space="0" w:color="auto"/>
            </w:tcBorders>
            <w:noWrap/>
            <w:vAlign w:val="center"/>
          </w:tcPr>
          <w:p w:rsidR="002A771A" w:rsidRPr="00A50798" w:rsidRDefault="002A771A" w:rsidP="008F3C1C">
            <w:pPr>
              <w:widowControl/>
              <w:jc w:val="center"/>
              <w:rPr>
                <w:rFonts w:eastAsia="標楷體"/>
                <w:kern w:val="0"/>
                <w:sz w:val="20"/>
                <w:szCs w:val="20"/>
              </w:rPr>
            </w:pPr>
            <w:r w:rsidRPr="00A50798">
              <w:rPr>
                <w:rFonts w:eastAsia="標楷體" w:hint="eastAsia"/>
                <w:kern w:val="0"/>
                <w:sz w:val="20"/>
                <w:szCs w:val="20"/>
              </w:rPr>
              <w:t>槓桿比率</w:t>
            </w:r>
          </w:p>
        </w:tc>
      </w:tr>
      <w:tr w:rsidR="002A771A" w:rsidRPr="00A50798" w:rsidTr="008F3C1C">
        <w:trPr>
          <w:cantSplit/>
          <w:trHeight w:val="745"/>
          <w:jc w:val="center"/>
        </w:trPr>
        <w:tc>
          <w:tcPr>
            <w:tcW w:w="1539" w:type="dxa"/>
            <w:vMerge w:val="restart"/>
            <w:tcBorders>
              <w:top w:val="single" w:sz="4" w:space="0" w:color="auto"/>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(1)</w:t>
            </w:r>
            <w:r w:rsidRPr="00A50798">
              <w:rPr>
                <w:rFonts w:eastAsia="標楷體" w:hint="eastAsia"/>
                <w:kern w:val="0"/>
                <w:sz w:val="20"/>
                <w:szCs w:val="20"/>
              </w:rPr>
              <w:t>信用風險</w:t>
            </w:r>
            <w:r w:rsidRPr="00A50798">
              <w:rPr>
                <w:rFonts w:eastAsia="標楷體" w:hint="eastAsia"/>
                <w:kern w:val="0"/>
                <w:sz w:val="20"/>
                <w:szCs w:val="20"/>
              </w:rPr>
              <w:t>:</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single" w:sz="4" w:space="0" w:color="auto"/>
              <w:left w:val="nil"/>
              <w:bottom w:val="nil"/>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(5)</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tcBorders>
              <w:top w:val="single" w:sz="4" w:space="0" w:color="auto"/>
              <w:left w:val="nil"/>
              <w:bottom w:val="nil"/>
              <w:right w:val="single" w:sz="4" w:space="0" w:color="auto"/>
            </w:tcBorders>
            <w:noWrap/>
          </w:tcPr>
          <w:p w:rsidR="002A771A" w:rsidRPr="00A50798" w:rsidRDefault="002A771A" w:rsidP="008F3C1C">
            <w:pPr>
              <w:widowControl/>
              <w:ind w:left="200" w:hangingChars="100" w:hanging="200"/>
              <w:jc w:val="both"/>
              <w:rPr>
                <w:rFonts w:eastAsia="標楷體"/>
                <w:kern w:val="0"/>
                <w:sz w:val="20"/>
                <w:szCs w:val="20"/>
              </w:rPr>
            </w:pPr>
            <w:r w:rsidRPr="00A50798">
              <w:rPr>
                <w:rFonts w:eastAsia="標楷體" w:hint="eastAsia"/>
                <w:kern w:val="0"/>
                <w:sz w:val="20"/>
                <w:szCs w:val="20"/>
              </w:rPr>
              <w:t>(8)</w:t>
            </w:r>
            <w:r w:rsidRPr="00A50798">
              <w:rPr>
                <w:rFonts w:eastAsia="標楷體" w:hint="eastAsia"/>
                <w:kern w:val="0"/>
                <w:sz w:val="20"/>
                <w:szCs w:val="20"/>
              </w:rPr>
              <w:t>普通股權益第一類資本淨額：</w:t>
            </w:r>
          </w:p>
          <w:p w:rsidR="002A771A" w:rsidRPr="00A50798" w:rsidRDefault="002A771A" w:rsidP="008F3C1C">
            <w:pPr>
              <w:widowControl/>
              <w:ind w:firstLineChars="100" w:firstLine="200"/>
              <w:jc w:val="both"/>
              <w:rPr>
                <w:rFonts w:eastAsia="標楷體"/>
                <w:kern w:val="0"/>
                <w:sz w:val="20"/>
                <w:szCs w:val="20"/>
              </w:rPr>
            </w:pPr>
            <w:r w:rsidRPr="00A50798">
              <w:rPr>
                <w:rFonts w:eastAsia="標楷體" w:hint="eastAsia"/>
                <w:kern w:val="0"/>
                <w:sz w:val="20"/>
                <w:szCs w:val="20"/>
              </w:rPr>
              <w:t>$__________</w:t>
            </w:r>
          </w:p>
        </w:tc>
        <w:tc>
          <w:tcPr>
            <w:tcW w:w="2160" w:type="dxa"/>
            <w:vMerge w:val="restart"/>
            <w:tcBorders>
              <w:top w:val="single" w:sz="4" w:space="0" w:color="auto"/>
              <w:left w:val="nil"/>
              <w:bottom w:val="nil"/>
              <w:right w:val="single" w:sz="4" w:space="0" w:color="auto"/>
            </w:tcBorders>
            <w:noWrap/>
          </w:tcPr>
          <w:p w:rsidR="002A771A" w:rsidRPr="00A50798" w:rsidRDefault="002A771A" w:rsidP="008F3C1C">
            <w:pPr>
              <w:widowControl/>
              <w:ind w:left="400" w:hangingChars="200" w:hanging="400"/>
              <w:rPr>
                <w:rFonts w:eastAsia="標楷體"/>
                <w:kern w:val="0"/>
                <w:sz w:val="20"/>
                <w:szCs w:val="20"/>
              </w:rPr>
            </w:pPr>
            <w:r w:rsidRPr="00A50798">
              <w:rPr>
                <w:rFonts w:eastAsia="標楷體" w:hint="eastAsia"/>
                <w:kern w:val="0"/>
                <w:sz w:val="20"/>
                <w:szCs w:val="20"/>
              </w:rPr>
              <w:t>(12)</w:t>
            </w:r>
            <w:r w:rsidRPr="00A50798">
              <w:rPr>
                <w:rFonts w:eastAsia="標楷體" w:hint="eastAsia"/>
                <w:kern w:val="0"/>
                <w:sz w:val="20"/>
                <w:szCs w:val="20"/>
              </w:rPr>
              <w:t>普通股權益比率</w:t>
            </w:r>
            <w:r w:rsidRPr="00A50798">
              <w:rPr>
                <w:rFonts w:eastAsia="標楷體" w:hint="eastAsia"/>
                <w:kern w:val="0"/>
                <w:sz w:val="20"/>
                <w:szCs w:val="20"/>
              </w:rPr>
              <w:t>=(8)</w:t>
            </w:r>
            <w:r w:rsidRPr="00A50798">
              <w:rPr>
                <w:rFonts w:eastAsia="標楷體" w:hint="eastAsia"/>
                <w:kern w:val="0"/>
                <w:sz w:val="20"/>
                <w:szCs w:val="20"/>
              </w:rPr>
              <w:t>／</w:t>
            </w:r>
            <w:r w:rsidRPr="00A50798">
              <w:rPr>
                <w:rFonts w:eastAsia="標楷體" w:hint="eastAsia"/>
                <w:kern w:val="0"/>
                <w:sz w:val="20"/>
                <w:szCs w:val="20"/>
              </w:rPr>
              <w:t>(4)</w:t>
            </w:r>
          </w:p>
          <w:p w:rsidR="002A771A" w:rsidRPr="00A50798" w:rsidRDefault="002A771A" w:rsidP="008F3C1C">
            <w:pPr>
              <w:widowControl/>
              <w:ind w:left="300" w:hangingChars="150" w:hanging="300"/>
              <w:rPr>
                <w:rFonts w:eastAsia="標楷體"/>
                <w:kern w:val="0"/>
                <w:sz w:val="20"/>
                <w:szCs w:val="20"/>
              </w:rPr>
            </w:pPr>
            <w:r w:rsidRPr="00A50798">
              <w:rPr>
                <w:rFonts w:eastAsia="標楷體" w:hint="eastAsia"/>
                <w:kern w:val="0"/>
                <w:sz w:val="20"/>
                <w:szCs w:val="20"/>
              </w:rPr>
              <w:t>(13)</w:t>
            </w:r>
            <w:r w:rsidRPr="00A50798">
              <w:rPr>
                <w:rFonts w:eastAsia="標楷體" w:hint="eastAsia"/>
                <w:kern w:val="0"/>
                <w:sz w:val="20"/>
                <w:szCs w:val="20"/>
              </w:rPr>
              <w:t>第一類資本比率</w:t>
            </w:r>
            <w:r w:rsidRPr="00A50798">
              <w:rPr>
                <w:rFonts w:eastAsia="標楷體" w:hint="eastAsia"/>
                <w:kern w:val="0"/>
                <w:sz w:val="20"/>
                <w:szCs w:val="20"/>
              </w:rPr>
              <w:t>=</w:t>
            </w:r>
            <w:r w:rsidRPr="00A50798">
              <w:rPr>
                <w:rFonts w:eastAsia="標楷體" w:hint="eastAsia"/>
                <w:kern w:val="0"/>
                <w:sz w:val="20"/>
                <w:szCs w:val="20"/>
              </w:rPr>
              <w:t>【</w:t>
            </w:r>
            <w:r w:rsidRPr="00A50798">
              <w:rPr>
                <w:rFonts w:eastAsia="標楷體" w:hint="eastAsia"/>
                <w:kern w:val="0"/>
                <w:sz w:val="20"/>
                <w:szCs w:val="20"/>
              </w:rPr>
              <w:t>(8</w:t>
            </w:r>
            <w:r w:rsidRPr="00A50798">
              <w:rPr>
                <w:rFonts w:ascii="標楷體" w:eastAsia="標楷體" w:hAnsi="標楷體" w:hint="eastAsia"/>
                <w:kern w:val="0"/>
                <w:sz w:val="20"/>
                <w:szCs w:val="20"/>
              </w:rPr>
              <w:t>)＋(9)</w:t>
            </w:r>
            <w:r w:rsidRPr="00A50798">
              <w:rPr>
                <w:rFonts w:eastAsia="標楷體" w:hint="eastAsia"/>
                <w:kern w:val="0"/>
                <w:sz w:val="20"/>
                <w:szCs w:val="20"/>
              </w:rPr>
              <w:t>】</w:t>
            </w:r>
            <w:r w:rsidRPr="00A50798">
              <w:rPr>
                <w:rFonts w:ascii="標楷體" w:eastAsia="標楷體" w:hAnsi="標楷體" w:hint="eastAsia"/>
                <w:kern w:val="0"/>
                <w:sz w:val="20"/>
                <w:szCs w:val="20"/>
              </w:rPr>
              <w:t>／(4)</w:t>
            </w:r>
          </w:p>
          <w:p w:rsidR="002A771A" w:rsidRPr="00A50798" w:rsidRDefault="002A771A" w:rsidP="008F3C1C">
            <w:pPr>
              <w:widowControl/>
              <w:ind w:left="300" w:hangingChars="150" w:hanging="300"/>
              <w:jc w:val="both"/>
              <w:rPr>
                <w:rFonts w:eastAsia="標楷體"/>
                <w:kern w:val="0"/>
                <w:sz w:val="20"/>
                <w:szCs w:val="20"/>
              </w:rPr>
            </w:pPr>
            <w:r w:rsidRPr="00A50798">
              <w:rPr>
                <w:rFonts w:eastAsia="標楷體" w:hint="eastAsia"/>
                <w:kern w:val="0"/>
                <w:sz w:val="20"/>
                <w:szCs w:val="20"/>
              </w:rPr>
              <w:t>(14)</w:t>
            </w:r>
            <w:r w:rsidRPr="00A50798">
              <w:rPr>
                <w:rFonts w:eastAsia="標楷體" w:hint="eastAsia"/>
                <w:kern w:val="0"/>
                <w:sz w:val="20"/>
                <w:szCs w:val="20"/>
              </w:rPr>
              <w:t>資本適足率</w:t>
            </w:r>
            <w:r w:rsidRPr="00A50798">
              <w:rPr>
                <w:rFonts w:eastAsia="標楷體" w:hint="eastAsia"/>
                <w:kern w:val="0"/>
                <w:sz w:val="20"/>
                <w:szCs w:val="20"/>
              </w:rPr>
              <w:t>=(11</w:t>
            </w:r>
            <w:r w:rsidRPr="00A50798">
              <w:rPr>
                <w:rFonts w:ascii="標楷體" w:eastAsia="標楷體" w:hAnsi="標楷體" w:hint="eastAsia"/>
                <w:kern w:val="0"/>
                <w:sz w:val="20"/>
                <w:szCs w:val="20"/>
              </w:rPr>
              <w:t>)／(4)</w:t>
            </w:r>
          </w:p>
        </w:tc>
        <w:tc>
          <w:tcPr>
            <w:tcW w:w="2210" w:type="dxa"/>
            <w:vMerge w:val="restart"/>
            <w:tcBorders>
              <w:top w:val="single" w:sz="4" w:space="0" w:color="auto"/>
              <w:left w:val="nil"/>
              <w:right w:val="single" w:sz="4" w:space="0" w:color="auto"/>
            </w:tcBorders>
            <w:noWrap/>
          </w:tcPr>
          <w:p w:rsidR="002A771A" w:rsidRPr="00A75135" w:rsidRDefault="002A771A" w:rsidP="008F3C1C">
            <w:pPr>
              <w:ind w:left="300" w:hangingChars="150" w:hanging="300"/>
              <w:jc w:val="both"/>
              <w:rPr>
                <w:rFonts w:eastAsia="標楷體"/>
                <w:kern w:val="0"/>
                <w:sz w:val="20"/>
                <w:szCs w:val="20"/>
              </w:rPr>
            </w:pPr>
            <w:r w:rsidRPr="00A50798">
              <w:rPr>
                <w:rFonts w:eastAsia="標楷體" w:hint="eastAsia"/>
                <w:kern w:val="0"/>
                <w:sz w:val="20"/>
                <w:szCs w:val="20"/>
              </w:rPr>
              <w:t>(15</w:t>
            </w:r>
            <w:r w:rsidRPr="00A75135">
              <w:rPr>
                <w:rFonts w:eastAsia="標楷體" w:hint="eastAsia"/>
                <w:kern w:val="0"/>
                <w:sz w:val="20"/>
                <w:szCs w:val="20"/>
              </w:rPr>
              <w:t>)</w:t>
            </w:r>
            <w:r w:rsidRPr="00A75135">
              <w:rPr>
                <w:rFonts w:eastAsia="標楷體" w:hint="eastAsia"/>
                <w:kern w:val="0"/>
                <w:sz w:val="20"/>
                <w:szCs w:val="20"/>
                <w:u w:val="single"/>
              </w:rPr>
              <w:t>最近</w:t>
            </w:r>
            <w:r w:rsidRPr="00A75135">
              <w:rPr>
                <w:rFonts w:eastAsia="標楷體" w:hint="eastAsia"/>
                <w:kern w:val="0"/>
                <w:sz w:val="20"/>
                <w:szCs w:val="20"/>
                <w:u w:val="single"/>
              </w:rPr>
              <w:t>3</w:t>
            </w:r>
            <w:r w:rsidRPr="00A75135">
              <w:rPr>
                <w:rFonts w:eastAsia="標楷體" w:hint="eastAsia"/>
                <w:kern w:val="0"/>
                <w:sz w:val="20"/>
                <w:szCs w:val="20"/>
                <w:u w:val="single"/>
              </w:rPr>
              <w:t>個月平均</w:t>
            </w:r>
            <w:r w:rsidRPr="00A75135">
              <w:rPr>
                <w:rFonts w:eastAsia="標楷體" w:hint="eastAsia"/>
                <w:kern w:val="0"/>
                <w:sz w:val="20"/>
                <w:szCs w:val="20"/>
              </w:rPr>
              <w:t>第一類資本淨額：</w:t>
            </w:r>
          </w:p>
          <w:p w:rsidR="002A771A" w:rsidRPr="00A75135" w:rsidRDefault="002A771A" w:rsidP="008F3C1C">
            <w:pPr>
              <w:ind w:leftChars="126" w:left="302"/>
              <w:jc w:val="both"/>
              <w:rPr>
                <w:rFonts w:eastAsia="標楷體"/>
                <w:kern w:val="0"/>
                <w:sz w:val="20"/>
                <w:szCs w:val="20"/>
                <w:u w:val="single"/>
              </w:rPr>
            </w:pPr>
            <w:r w:rsidRPr="00A75135">
              <w:rPr>
                <w:rFonts w:eastAsia="標楷體" w:hint="eastAsia"/>
                <w:kern w:val="0"/>
                <w:sz w:val="20"/>
                <w:szCs w:val="20"/>
                <w:u w:val="single"/>
              </w:rPr>
              <w:t xml:space="preserve">$          </w:t>
            </w:r>
          </w:p>
          <w:p w:rsidR="002A771A" w:rsidRPr="00A50798" w:rsidRDefault="002A771A" w:rsidP="008F3C1C">
            <w:pPr>
              <w:ind w:left="300" w:hangingChars="150" w:hanging="300"/>
              <w:jc w:val="both"/>
              <w:rPr>
                <w:rFonts w:eastAsia="標楷體"/>
                <w:kern w:val="0"/>
                <w:sz w:val="20"/>
                <w:szCs w:val="20"/>
              </w:rPr>
            </w:pPr>
            <w:r w:rsidRPr="00A75135">
              <w:rPr>
                <w:rFonts w:eastAsia="標楷體" w:hint="eastAsia"/>
                <w:kern w:val="0"/>
                <w:sz w:val="20"/>
                <w:szCs w:val="20"/>
              </w:rPr>
              <w:t>(16)</w:t>
            </w:r>
            <w:r w:rsidRPr="00A75135">
              <w:rPr>
                <w:rFonts w:eastAsia="標楷體" w:hint="eastAsia"/>
                <w:kern w:val="0"/>
                <w:sz w:val="20"/>
                <w:szCs w:val="20"/>
                <w:u w:val="single"/>
              </w:rPr>
              <w:t>最近</w:t>
            </w:r>
            <w:r w:rsidRPr="00A75135">
              <w:rPr>
                <w:rFonts w:eastAsia="標楷體" w:hint="eastAsia"/>
                <w:kern w:val="0"/>
                <w:sz w:val="20"/>
                <w:szCs w:val="20"/>
                <w:u w:val="single"/>
              </w:rPr>
              <w:t>3</w:t>
            </w:r>
            <w:r w:rsidRPr="00A75135">
              <w:rPr>
                <w:rFonts w:eastAsia="標楷體" w:hint="eastAsia"/>
                <w:kern w:val="0"/>
                <w:sz w:val="20"/>
                <w:szCs w:val="20"/>
                <w:u w:val="single"/>
              </w:rPr>
              <w:t>個月平均</w:t>
            </w:r>
            <w:proofErr w:type="gramStart"/>
            <w:r w:rsidRPr="00A75135">
              <w:rPr>
                <w:rFonts w:eastAsia="標楷體" w:hint="eastAsia"/>
                <w:kern w:val="0"/>
                <w:sz w:val="20"/>
                <w:szCs w:val="20"/>
                <w:u w:val="single"/>
              </w:rPr>
              <w:t>之</w:t>
            </w:r>
            <w:r w:rsidRPr="00A50798">
              <w:rPr>
                <w:rFonts w:eastAsia="標楷體" w:hint="eastAsia"/>
                <w:kern w:val="0"/>
                <w:sz w:val="20"/>
                <w:szCs w:val="20"/>
              </w:rPr>
              <w:t>暴險總額</w:t>
            </w:r>
            <w:proofErr w:type="gramEnd"/>
            <w:r w:rsidRPr="00A50798">
              <w:rPr>
                <w:rFonts w:eastAsia="標楷體" w:hint="eastAsia"/>
                <w:kern w:val="0"/>
                <w:sz w:val="20"/>
                <w:szCs w:val="20"/>
              </w:rPr>
              <w:t>：</w:t>
            </w:r>
          </w:p>
          <w:p w:rsidR="002A771A" w:rsidRPr="00A50798" w:rsidRDefault="002A771A" w:rsidP="008F3C1C">
            <w:pPr>
              <w:ind w:leftChars="126" w:left="302"/>
              <w:jc w:val="both"/>
              <w:rPr>
                <w:rFonts w:eastAsia="標楷體"/>
                <w:strike/>
                <w:kern w:val="0"/>
                <w:sz w:val="20"/>
                <w:szCs w:val="20"/>
                <w:u w:val="single"/>
              </w:rPr>
            </w:pPr>
            <w:r w:rsidRPr="00A50798">
              <w:rPr>
                <w:rFonts w:eastAsia="標楷體" w:hint="eastAsia"/>
                <w:kern w:val="0"/>
                <w:sz w:val="20"/>
                <w:szCs w:val="20"/>
                <w:u w:val="single"/>
              </w:rPr>
              <w:t xml:space="preserve">$          </w:t>
            </w:r>
          </w:p>
        </w:tc>
      </w:tr>
      <w:tr w:rsidR="002A771A" w:rsidRPr="00A50798" w:rsidTr="008F3C1C">
        <w:trPr>
          <w:cantSplit/>
          <w:trHeight w:val="360"/>
          <w:jc w:val="center"/>
        </w:trPr>
        <w:tc>
          <w:tcPr>
            <w:tcW w:w="1539" w:type="dxa"/>
            <w:vMerge/>
            <w:tcBorders>
              <w:left w:val="single" w:sz="4" w:space="0" w:color="auto"/>
              <w:bottom w:val="single" w:sz="4" w:space="0" w:color="auto"/>
              <w:right w:val="single" w:sz="4" w:space="0" w:color="auto"/>
            </w:tcBorders>
            <w:noWrap/>
          </w:tcPr>
          <w:p w:rsidR="002A771A" w:rsidRPr="00A50798" w:rsidRDefault="002A771A" w:rsidP="008F3C1C">
            <w:pPr>
              <w:rPr>
                <w:rFonts w:ascii="標楷體" w:eastAsia="標楷體" w:hAnsi="標楷體" w:cs="新細明體"/>
                <w:kern w:val="0"/>
                <w:sz w:val="20"/>
                <w:szCs w:val="20"/>
              </w:rPr>
            </w:pPr>
          </w:p>
        </w:tc>
        <w:tc>
          <w:tcPr>
            <w:tcW w:w="1598" w:type="dxa"/>
            <w:vMerge/>
            <w:tcBorders>
              <w:left w:val="nil"/>
              <w:bottom w:val="single" w:sz="4" w:space="0" w:color="auto"/>
              <w:right w:val="single" w:sz="4" w:space="0" w:color="auto"/>
            </w:tcBorders>
            <w:noWrap/>
          </w:tcPr>
          <w:p w:rsidR="002A771A" w:rsidRPr="00A50798" w:rsidRDefault="002A771A" w:rsidP="008F3C1C">
            <w:pPr>
              <w:jc w:val="both"/>
              <w:rPr>
                <w:rFonts w:ascii="標楷體" w:eastAsia="標楷體" w:hAnsi="標楷體" w:cs="新細明體"/>
                <w:kern w:val="0"/>
                <w:sz w:val="20"/>
                <w:szCs w:val="20"/>
              </w:rPr>
            </w:pPr>
          </w:p>
        </w:tc>
        <w:tc>
          <w:tcPr>
            <w:tcW w:w="2340" w:type="dxa"/>
            <w:vMerge w:val="restart"/>
            <w:tcBorders>
              <w:top w:val="nil"/>
              <w:left w:val="nil"/>
              <w:bottom w:val="nil"/>
              <w:right w:val="single" w:sz="4" w:space="0" w:color="auto"/>
            </w:tcBorders>
            <w:noWrap/>
          </w:tcPr>
          <w:p w:rsidR="002A771A" w:rsidRPr="00A50798" w:rsidRDefault="002A771A" w:rsidP="008F3C1C">
            <w:pPr>
              <w:widowControl/>
              <w:ind w:left="300" w:hangingChars="150" w:hanging="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(9)非普通股權益之其他第一類資本淨額：</w:t>
            </w:r>
          </w:p>
          <w:p w:rsidR="002A771A" w:rsidRPr="00A50798" w:rsidRDefault="002A771A" w:rsidP="008F3C1C">
            <w:pPr>
              <w:widowControl/>
              <w:ind w:firstLineChars="150" w:firstLine="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$__________</w:t>
            </w:r>
          </w:p>
        </w:tc>
        <w:tc>
          <w:tcPr>
            <w:tcW w:w="2160" w:type="dxa"/>
            <w:vMerge/>
            <w:tcBorders>
              <w:left w:val="nil"/>
              <w:right w:val="single" w:sz="4" w:space="0" w:color="auto"/>
            </w:tcBorders>
            <w:noWrap/>
          </w:tcPr>
          <w:p w:rsidR="002A771A" w:rsidRPr="00A50798" w:rsidRDefault="002A771A" w:rsidP="008F3C1C">
            <w:pPr>
              <w:rPr>
                <w:rFonts w:ascii="標楷體" w:eastAsia="標楷體" w:hAnsi="標楷體" w:cs="新細明體"/>
                <w:kern w:val="0"/>
                <w:sz w:val="20"/>
                <w:szCs w:val="20"/>
              </w:rPr>
            </w:pPr>
          </w:p>
        </w:tc>
        <w:tc>
          <w:tcPr>
            <w:tcW w:w="2210" w:type="dxa"/>
            <w:vMerge/>
            <w:tcBorders>
              <w:left w:val="nil"/>
              <w:right w:val="single" w:sz="4" w:space="0" w:color="auto"/>
            </w:tcBorders>
            <w:noWrap/>
          </w:tcPr>
          <w:p w:rsidR="002A771A" w:rsidRPr="00A50798" w:rsidRDefault="002A771A" w:rsidP="008F3C1C">
            <w:pPr>
              <w:jc w:val="both"/>
              <w:rPr>
                <w:rFonts w:ascii="標楷體" w:eastAsia="標楷體" w:hAnsi="標楷體" w:cs="新細明體"/>
                <w:kern w:val="0"/>
                <w:sz w:val="20"/>
                <w:szCs w:val="20"/>
              </w:rPr>
            </w:pPr>
          </w:p>
        </w:tc>
      </w:tr>
      <w:tr w:rsidR="002A771A" w:rsidRPr="00A50798" w:rsidTr="008F3C1C">
        <w:trPr>
          <w:cantSplit/>
          <w:trHeight w:val="360"/>
          <w:jc w:val="center"/>
        </w:trPr>
        <w:tc>
          <w:tcPr>
            <w:tcW w:w="1539" w:type="dxa"/>
            <w:vMerge w:val="restart"/>
            <w:tcBorders>
              <w:top w:val="nil"/>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(2)</w:t>
            </w:r>
            <w:r w:rsidRPr="00A50798">
              <w:rPr>
                <w:rFonts w:eastAsia="標楷體" w:hint="eastAsia"/>
                <w:kern w:val="0"/>
                <w:sz w:val="20"/>
                <w:szCs w:val="20"/>
              </w:rPr>
              <w:t>作業風險：</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nil"/>
              <w:left w:val="nil"/>
              <w:bottom w:val="nil"/>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(6)</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right w:val="single" w:sz="4" w:space="0" w:color="auto"/>
            </w:tcBorders>
            <w:noWrap/>
            <w:vAlign w:val="bottom"/>
          </w:tcPr>
          <w:p w:rsidR="002A771A" w:rsidRPr="00A50798" w:rsidRDefault="002A771A" w:rsidP="008F3C1C">
            <w:pPr>
              <w:jc w:val="both"/>
              <w:rPr>
                <w:rFonts w:eastAsia="標楷體"/>
                <w:kern w:val="0"/>
                <w:sz w:val="20"/>
                <w:szCs w:val="20"/>
              </w:rPr>
            </w:pPr>
          </w:p>
        </w:tc>
        <w:tc>
          <w:tcPr>
            <w:tcW w:w="2160" w:type="dxa"/>
            <w:vMerge/>
            <w:tcBorders>
              <w:left w:val="nil"/>
              <w:right w:val="single" w:sz="4" w:space="0" w:color="auto"/>
            </w:tcBorders>
            <w:noWrap/>
          </w:tcPr>
          <w:p w:rsidR="002A771A" w:rsidRPr="00A50798" w:rsidRDefault="002A771A" w:rsidP="008F3C1C">
            <w:pPr>
              <w:rPr>
                <w:rFonts w:eastAsia="標楷體"/>
                <w:kern w:val="0"/>
                <w:sz w:val="20"/>
                <w:szCs w:val="20"/>
              </w:rPr>
            </w:pPr>
          </w:p>
        </w:tc>
        <w:tc>
          <w:tcPr>
            <w:tcW w:w="2210" w:type="dxa"/>
            <w:vMerge/>
            <w:tcBorders>
              <w:left w:val="nil"/>
              <w:right w:val="single" w:sz="4" w:space="0" w:color="auto"/>
            </w:tcBorders>
            <w:noWrap/>
          </w:tcPr>
          <w:p w:rsidR="002A771A" w:rsidRPr="00A50798" w:rsidRDefault="002A771A" w:rsidP="008F3C1C">
            <w:pPr>
              <w:jc w:val="both"/>
              <w:rPr>
                <w:rFonts w:eastAsia="標楷體"/>
                <w:kern w:val="0"/>
                <w:sz w:val="20"/>
                <w:szCs w:val="20"/>
              </w:rPr>
            </w:pPr>
          </w:p>
        </w:tc>
      </w:tr>
      <w:tr w:rsidR="002A771A" w:rsidRPr="00A50798" w:rsidTr="008F3C1C">
        <w:trPr>
          <w:cantSplit/>
          <w:trHeight w:val="628"/>
          <w:jc w:val="center"/>
        </w:trPr>
        <w:tc>
          <w:tcPr>
            <w:tcW w:w="1539" w:type="dxa"/>
            <w:vMerge/>
            <w:tcBorders>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p>
        </w:tc>
        <w:tc>
          <w:tcPr>
            <w:tcW w:w="1598" w:type="dxa"/>
            <w:vMerge/>
            <w:tcBorders>
              <w:left w:val="nil"/>
              <w:bottom w:val="single" w:sz="4" w:space="0" w:color="auto"/>
              <w:right w:val="single" w:sz="4" w:space="0" w:color="auto"/>
            </w:tcBorders>
            <w:noWrap/>
          </w:tcPr>
          <w:p w:rsidR="002A771A" w:rsidRPr="00A50798" w:rsidRDefault="002A771A" w:rsidP="008F3C1C">
            <w:pPr>
              <w:jc w:val="both"/>
              <w:rPr>
                <w:rFonts w:eastAsia="標楷體"/>
                <w:kern w:val="0"/>
                <w:sz w:val="20"/>
                <w:szCs w:val="20"/>
              </w:rPr>
            </w:pPr>
          </w:p>
        </w:tc>
        <w:tc>
          <w:tcPr>
            <w:tcW w:w="2340" w:type="dxa"/>
            <w:vMerge w:val="restart"/>
            <w:tcBorders>
              <w:top w:val="nil"/>
              <w:left w:val="nil"/>
              <w:bottom w:val="single" w:sz="4" w:space="0" w:color="auto"/>
              <w:right w:val="single" w:sz="4" w:space="0" w:color="auto"/>
            </w:tcBorders>
            <w:noWrap/>
          </w:tcPr>
          <w:p w:rsidR="002A771A" w:rsidRPr="00A50798" w:rsidRDefault="002A771A" w:rsidP="008F3C1C">
            <w:pPr>
              <w:widowControl/>
              <w:ind w:left="300" w:hangingChars="150" w:hanging="300"/>
              <w:jc w:val="both"/>
              <w:rPr>
                <w:rFonts w:eastAsia="標楷體"/>
                <w:kern w:val="0"/>
                <w:sz w:val="20"/>
                <w:szCs w:val="20"/>
              </w:rPr>
            </w:pPr>
            <w:r w:rsidRPr="00A50798">
              <w:rPr>
                <w:rFonts w:eastAsia="標楷體" w:hint="eastAsia"/>
                <w:kern w:val="0"/>
                <w:sz w:val="20"/>
                <w:szCs w:val="20"/>
              </w:rPr>
              <w:t>(10)</w:t>
            </w:r>
            <w:r w:rsidRPr="00A50798">
              <w:rPr>
                <w:rFonts w:eastAsia="標楷體" w:hint="eastAsia"/>
                <w:kern w:val="0"/>
                <w:sz w:val="20"/>
                <w:szCs w:val="20"/>
              </w:rPr>
              <w:t>第二類資本淨額：</w:t>
            </w:r>
          </w:p>
          <w:p w:rsidR="002A771A" w:rsidRPr="00A50798" w:rsidRDefault="002A771A" w:rsidP="008F3C1C">
            <w:pPr>
              <w:widowControl/>
              <w:ind w:firstLineChars="150" w:firstLine="300"/>
              <w:jc w:val="both"/>
              <w:rPr>
                <w:rFonts w:eastAsia="標楷體"/>
                <w:kern w:val="0"/>
                <w:sz w:val="20"/>
                <w:szCs w:val="20"/>
              </w:rPr>
            </w:pPr>
            <w:r w:rsidRPr="00A50798">
              <w:rPr>
                <w:rFonts w:eastAsia="標楷體" w:hint="eastAsia"/>
                <w:kern w:val="0"/>
                <w:sz w:val="20"/>
                <w:szCs w:val="20"/>
              </w:rPr>
              <w:t>$__________</w:t>
            </w:r>
          </w:p>
        </w:tc>
        <w:tc>
          <w:tcPr>
            <w:tcW w:w="2160" w:type="dxa"/>
            <w:vMerge/>
            <w:tcBorders>
              <w:left w:val="nil"/>
              <w:right w:val="single" w:sz="4" w:space="0" w:color="auto"/>
            </w:tcBorders>
            <w:noWrap/>
          </w:tcPr>
          <w:p w:rsidR="002A771A" w:rsidRPr="00A50798" w:rsidRDefault="002A771A" w:rsidP="008F3C1C">
            <w:pPr>
              <w:rPr>
                <w:rFonts w:eastAsia="標楷體"/>
                <w:kern w:val="0"/>
                <w:sz w:val="20"/>
                <w:szCs w:val="20"/>
              </w:rPr>
            </w:pPr>
          </w:p>
        </w:tc>
        <w:tc>
          <w:tcPr>
            <w:tcW w:w="2210" w:type="dxa"/>
            <w:vMerge/>
            <w:tcBorders>
              <w:left w:val="nil"/>
              <w:right w:val="single" w:sz="4" w:space="0" w:color="auto"/>
            </w:tcBorders>
            <w:noWrap/>
            <w:vAlign w:val="bottom"/>
          </w:tcPr>
          <w:p w:rsidR="002A771A" w:rsidRPr="00A50798" w:rsidRDefault="002A771A" w:rsidP="008F3C1C">
            <w:pPr>
              <w:jc w:val="both"/>
              <w:rPr>
                <w:rFonts w:eastAsia="標楷體"/>
                <w:kern w:val="0"/>
                <w:sz w:val="20"/>
                <w:szCs w:val="20"/>
              </w:rPr>
            </w:pPr>
          </w:p>
        </w:tc>
      </w:tr>
      <w:tr w:rsidR="002A771A" w:rsidRPr="00A50798" w:rsidTr="008F3C1C">
        <w:trPr>
          <w:cantSplit/>
          <w:trHeight w:val="874"/>
          <w:jc w:val="center"/>
        </w:trPr>
        <w:tc>
          <w:tcPr>
            <w:tcW w:w="1539" w:type="dxa"/>
            <w:tcBorders>
              <w:left w:val="single" w:sz="4" w:space="0" w:color="auto"/>
              <w:bottom w:val="single" w:sz="4" w:space="0" w:color="auto"/>
              <w:right w:val="single" w:sz="4" w:space="0" w:color="auto"/>
            </w:tcBorders>
            <w:noWrap/>
          </w:tcPr>
          <w:p w:rsidR="002A771A" w:rsidRPr="00A50798" w:rsidRDefault="002A771A" w:rsidP="008F3C1C">
            <w:pPr>
              <w:widowControl/>
              <w:rPr>
                <w:rFonts w:eastAsia="標楷體"/>
                <w:kern w:val="0"/>
                <w:sz w:val="20"/>
                <w:szCs w:val="20"/>
              </w:rPr>
            </w:pPr>
            <w:r w:rsidRPr="00A50798">
              <w:rPr>
                <w:rFonts w:eastAsia="標楷體" w:hint="eastAsia"/>
                <w:kern w:val="0"/>
                <w:sz w:val="20"/>
                <w:szCs w:val="20"/>
              </w:rPr>
              <w:t>(3)</w:t>
            </w:r>
            <w:r w:rsidRPr="00A50798">
              <w:rPr>
                <w:rFonts w:eastAsia="標楷體" w:hint="eastAsia"/>
                <w:kern w:val="0"/>
                <w:sz w:val="20"/>
                <w:szCs w:val="20"/>
              </w:rPr>
              <w:t>市場風險：</w:t>
            </w:r>
          </w:p>
          <w:p w:rsidR="002A771A" w:rsidRPr="00A50798" w:rsidRDefault="002A771A" w:rsidP="008F3C1C">
            <w:pPr>
              <w:widowControl/>
              <w:rPr>
                <w:rFonts w:eastAsia="標楷體"/>
                <w:kern w:val="0"/>
                <w:sz w:val="20"/>
                <w:szCs w:val="20"/>
              </w:rPr>
            </w:pPr>
            <w:r w:rsidRPr="00A50798">
              <w:rPr>
                <w:rFonts w:eastAsia="標楷體" w:hint="eastAsia"/>
                <w:kern w:val="0"/>
                <w:sz w:val="20"/>
                <w:szCs w:val="20"/>
              </w:rPr>
              <w:t>$________</w:t>
            </w:r>
          </w:p>
        </w:tc>
        <w:tc>
          <w:tcPr>
            <w:tcW w:w="1598" w:type="dxa"/>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(7)</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bottom w:val="single" w:sz="4" w:space="0" w:color="auto"/>
              <w:right w:val="single" w:sz="4" w:space="0" w:color="auto"/>
            </w:tcBorders>
            <w:noWrap/>
            <w:vAlign w:val="bottom"/>
          </w:tcPr>
          <w:p w:rsidR="002A771A" w:rsidRPr="00A50798" w:rsidRDefault="002A771A" w:rsidP="008F3C1C">
            <w:pPr>
              <w:jc w:val="both"/>
              <w:rPr>
                <w:rFonts w:eastAsia="標楷體"/>
                <w:kern w:val="0"/>
                <w:sz w:val="20"/>
                <w:szCs w:val="20"/>
              </w:rPr>
            </w:pPr>
          </w:p>
        </w:tc>
        <w:tc>
          <w:tcPr>
            <w:tcW w:w="2160" w:type="dxa"/>
            <w:vMerge/>
            <w:tcBorders>
              <w:left w:val="nil"/>
              <w:bottom w:val="single" w:sz="4" w:space="0" w:color="auto"/>
              <w:right w:val="single" w:sz="4" w:space="0" w:color="auto"/>
            </w:tcBorders>
            <w:noWrap/>
            <w:vAlign w:val="center"/>
          </w:tcPr>
          <w:p w:rsidR="002A771A" w:rsidRPr="00A50798" w:rsidRDefault="002A771A" w:rsidP="008F3C1C">
            <w:pPr>
              <w:rPr>
                <w:rFonts w:eastAsia="標楷體"/>
                <w:kern w:val="0"/>
                <w:sz w:val="20"/>
                <w:szCs w:val="20"/>
              </w:rPr>
            </w:pPr>
          </w:p>
        </w:tc>
        <w:tc>
          <w:tcPr>
            <w:tcW w:w="2210" w:type="dxa"/>
            <w:vMerge/>
            <w:tcBorders>
              <w:left w:val="nil"/>
              <w:bottom w:val="single" w:sz="4" w:space="0" w:color="auto"/>
              <w:right w:val="single" w:sz="4" w:space="0" w:color="auto"/>
            </w:tcBorders>
            <w:noWrap/>
            <w:vAlign w:val="bottom"/>
          </w:tcPr>
          <w:p w:rsidR="002A771A" w:rsidRPr="00A50798" w:rsidRDefault="002A771A" w:rsidP="008F3C1C">
            <w:pPr>
              <w:jc w:val="both"/>
              <w:rPr>
                <w:rFonts w:eastAsia="標楷體"/>
                <w:kern w:val="0"/>
                <w:sz w:val="20"/>
                <w:szCs w:val="20"/>
              </w:rPr>
            </w:pPr>
          </w:p>
        </w:tc>
      </w:tr>
      <w:tr w:rsidR="002A771A" w:rsidRPr="00A50798" w:rsidTr="008F3C1C">
        <w:trPr>
          <w:trHeight w:val="2609"/>
          <w:jc w:val="center"/>
        </w:trPr>
        <w:tc>
          <w:tcPr>
            <w:tcW w:w="1539" w:type="dxa"/>
            <w:tcBorders>
              <w:top w:val="single" w:sz="4" w:space="0" w:color="auto"/>
              <w:left w:val="single" w:sz="4" w:space="0" w:color="auto"/>
              <w:bottom w:val="single" w:sz="4" w:space="0" w:color="auto"/>
              <w:right w:val="single" w:sz="4" w:space="0" w:color="auto"/>
            </w:tcBorders>
            <w:noWrap/>
          </w:tcPr>
          <w:p w:rsidR="002A771A" w:rsidRPr="00A50798" w:rsidRDefault="002A771A" w:rsidP="008F3C1C">
            <w:pPr>
              <w:widowControl/>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0"/>
                <w:szCs w:val="20"/>
              </w:rPr>
              <w:t>合計：</w:t>
            </w:r>
          </w:p>
          <w:p w:rsidR="002A771A" w:rsidRPr="00A50798" w:rsidRDefault="002A771A" w:rsidP="008F3C1C">
            <w:pPr>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8"/>
                <w:szCs w:val="28"/>
              </w:rPr>
              <w:t>=</w:t>
            </w:r>
            <w:r w:rsidRPr="00A50798">
              <w:rPr>
                <w:rFonts w:eastAsia="標楷體" w:hint="eastAsia"/>
                <w:kern w:val="0"/>
                <w:sz w:val="20"/>
                <w:szCs w:val="20"/>
              </w:rPr>
              <w:t>(1)</w:t>
            </w:r>
            <w:r w:rsidRPr="00A50798">
              <w:rPr>
                <w:rFonts w:eastAsia="標楷體" w:hint="eastAsia"/>
                <w:kern w:val="0"/>
                <w:sz w:val="20"/>
                <w:szCs w:val="20"/>
              </w:rPr>
              <w:t>＋</w:t>
            </w:r>
            <w:r w:rsidRPr="00A50798">
              <w:rPr>
                <w:rFonts w:eastAsia="標楷體" w:hint="eastAsia"/>
                <w:kern w:val="0"/>
                <w:sz w:val="20"/>
                <w:szCs w:val="20"/>
              </w:rPr>
              <w:t>(2)</w:t>
            </w:r>
            <w:r w:rsidRPr="00A50798">
              <w:rPr>
                <w:rFonts w:eastAsia="標楷體" w:hint="eastAsia"/>
                <w:kern w:val="0"/>
                <w:sz w:val="20"/>
                <w:szCs w:val="20"/>
              </w:rPr>
              <w:t>＋</w:t>
            </w:r>
            <w:r w:rsidRPr="00A50798">
              <w:rPr>
                <w:rFonts w:eastAsia="標楷體" w:hint="eastAsia"/>
                <w:kern w:val="0"/>
                <w:sz w:val="20"/>
                <w:szCs w:val="20"/>
              </w:rPr>
              <w:t>(3)</w:t>
            </w:r>
          </w:p>
        </w:tc>
        <w:tc>
          <w:tcPr>
            <w:tcW w:w="1598" w:type="dxa"/>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說明：</w:t>
            </w:r>
          </w:p>
          <w:p w:rsidR="002A771A" w:rsidRPr="00A50798" w:rsidRDefault="002A771A" w:rsidP="008F3C1C">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5</w:t>
            </w:r>
            <w:r w:rsidRPr="00A50798">
              <w:rPr>
                <w:rFonts w:eastAsia="標楷體"/>
                <w:kern w:val="0"/>
                <w:sz w:val="20"/>
                <w:szCs w:val="20"/>
              </w:rPr>
              <w:t>)</w:t>
            </w:r>
            <w:r w:rsidRPr="00A50798">
              <w:rPr>
                <w:rFonts w:eastAsia="標楷體"/>
                <w:kern w:val="0"/>
                <w:sz w:val="28"/>
                <w:szCs w:val="28"/>
              </w:rPr>
              <w:t>=</w:t>
            </w:r>
            <w:r w:rsidRPr="00A50798">
              <w:rPr>
                <w:rFonts w:eastAsia="標楷體"/>
                <w:kern w:val="0"/>
                <w:sz w:val="20"/>
                <w:szCs w:val="20"/>
              </w:rPr>
              <w:t>(1)×8%</w:t>
            </w:r>
          </w:p>
          <w:p w:rsidR="002A771A" w:rsidRPr="00A50798" w:rsidRDefault="002A771A" w:rsidP="008F3C1C">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6</w:t>
            </w:r>
            <w:r w:rsidRPr="00A50798">
              <w:rPr>
                <w:rFonts w:eastAsia="標楷體"/>
                <w:kern w:val="0"/>
                <w:sz w:val="20"/>
                <w:szCs w:val="20"/>
              </w:rPr>
              <w:t>)=(2)×8%</w:t>
            </w:r>
          </w:p>
          <w:p w:rsidR="002A771A" w:rsidRPr="00A50798" w:rsidRDefault="002A771A" w:rsidP="008F3C1C">
            <w:pPr>
              <w:rPr>
                <w:rFonts w:eastAsia="標楷體"/>
                <w:kern w:val="0"/>
                <w:sz w:val="20"/>
                <w:szCs w:val="20"/>
              </w:rPr>
            </w:pPr>
            <w:r w:rsidRPr="00A50798">
              <w:rPr>
                <w:rFonts w:eastAsia="標楷體" w:hint="eastAsia"/>
                <w:kern w:val="0"/>
                <w:sz w:val="20"/>
                <w:szCs w:val="20"/>
              </w:rPr>
              <w:t>(7)=(3)</w:t>
            </w:r>
            <w:r w:rsidRPr="00A50798">
              <w:rPr>
                <w:rFonts w:eastAsia="標楷體" w:hint="eastAsia"/>
                <w:kern w:val="0"/>
                <w:sz w:val="20"/>
                <w:szCs w:val="20"/>
              </w:rPr>
              <w:t>×</w:t>
            </w:r>
            <w:r w:rsidRPr="00A50798">
              <w:rPr>
                <w:rFonts w:eastAsia="標楷體" w:hint="eastAsia"/>
                <w:kern w:val="0"/>
                <w:sz w:val="20"/>
                <w:szCs w:val="20"/>
              </w:rPr>
              <w:t>8%</w:t>
            </w:r>
          </w:p>
        </w:tc>
        <w:tc>
          <w:tcPr>
            <w:tcW w:w="4500" w:type="dxa"/>
            <w:gridSpan w:val="2"/>
            <w:tcBorders>
              <w:top w:val="single" w:sz="4" w:space="0" w:color="auto"/>
              <w:left w:val="nil"/>
              <w:bottom w:val="single" w:sz="4" w:space="0" w:color="auto"/>
              <w:right w:val="single" w:sz="4" w:space="0" w:color="auto"/>
            </w:tcBorders>
            <w:noWrap/>
          </w:tcPr>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(11)</w:t>
            </w:r>
            <w:r w:rsidRPr="00A50798">
              <w:rPr>
                <w:rFonts w:eastAsia="標楷體" w:hint="eastAsia"/>
                <w:kern w:val="0"/>
                <w:sz w:val="20"/>
                <w:szCs w:val="20"/>
              </w:rPr>
              <w:t>自有資本合計：</w:t>
            </w:r>
          </w:p>
          <w:p w:rsidR="002A771A" w:rsidRPr="00A50798" w:rsidRDefault="002A771A" w:rsidP="008F3C1C">
            <w:pPr>
              <w:widowControl/>
              <w:jc w:val="both"/>
              <w:rPr>
                <w:rFonts w:eastAsia="標楷體"/>
                <w:kern w:val="0"/>
                <w:sz w:val="20"/>
                <w:szCs w:val="20"/>
              </w:rPr>
            </w:pPr>
            <w:r w:rsidRPr="00A50798">
              <w:rPr>
                <w:rFonts w:eastAsia="標楷體" w:hint="eastAsia"/>
                <w:kern w:val="0"/>
                <w:sz w:val="20"/>
                <w:szCs w:val="20"/>
              </w:rPr>
              <w:t>(11)= (8</w:t>
            </w:r>
            <w:r w:rsidRPr="00A50798">
              <w:rPr>
                <w:rFonts w:ascii="標楷體" w:eastAsia="標楷體" w:hAnsi="標楷體" w:hint="eastAsia"/>
                <w:kern w:val="0"/>
                <w:sz w:val="20"/>
                <w:szCs w:val="20"/>
              </w:rPr>
              <w:t>)＋(9)＋(10)</w:t>
            </w:r>
          </w:p>
        </w:tc>
        <w:tc>
          <w:tcPr>
            <w:tcW w:w="2210" w:type="dxa"/>
            <w:tcBorders>
              <w:top w:val="single" w:sz="4" w:space="0" w:color="auto"/>
              <w:left w:val="nil"/>
              <w:bottom w:val="single" w:sz="4" w:space="0" w:color="auto"/>
              <w:right w:val="single" w:sz="4" w:space="0" w:color="auto"/>
            </w:tcBorders>
            <w:noWrap/>
          </w:tcPr>
          <w:p w:rsidR="002A771A" w:rsidRPr="00A50798" w:rsidRDefault="002A771A" w:rsidP="008F3C1C">
            <w:pPr>
              <w:ind w:left="400" w:hangingChars="200" w:hanging="400"/>
              <w:rPr>
                <w:rFonts w:eastAsia="標楷體"/>
                <w:kern w:val="0"/>
                <w:sz w:val="20"/>
                <w:szCs w:val="20"/>
              </w:rPr>
            </w:pPr>
            <w:r w:rsidRPr="00A50798">
              <w:rPr>
                <w:rFonts w:eastAsia="標楷體" w:hint="eastAsia"/>
                <w:kern w:val="0"/>
                <w:sz w:val="20"/>
                <w:szCs w:val="20"/>
              </w:rPr>
              <w:t xml:space="preserve"> (17)</w:t>
            </w:r>
            <w:r w:rsidRPr="00A50798">
              <w:rPr>
                <w:rFonts w:eastAsia="標楷體" w:hint="eastAsia"/>
                <w:kern w:val="0"/>
                <w:sz w:val="20"/>
                <w:szCs w:val="20"/>
              </w:rPr>
              <w:t>槓桿比率</w:t>
            </w:r>
            <w:r w:rsidRPr="00A50798">
              <w:rPr>
                <w:rFonts w:eastAsia="標楷體" w:hint="eastAsia"/>
                <w:kern w:val="0"/>
                <w:sz w:val="20"/>
                <w:szCs w:val="20"/>
              </w:rPr>
              <w:t>=(15)</w:t>
            </w:r>
            <w:r w:rsidRPr="00A50798">
              <w:rPr>
                <w:rFonts w:eastAsia="標楷體" w:hint="eastAsia"/>
                <w:kern w:val="0"/>
                <w:sz w:val="20"/>
                <w:szCs w:val="20"/>
              </w:rPr>
              <w:t>／</w:t>
            </w:r>
            <w:r w:rsidRPr="00A50798">
              <w:rPr>
                <w:rFonts w:eastAsia="標楷體" w:hint="eastAsia"/>
                <w:kern w:val="0"/>
                <w:sz w:val="20"/>
                <w:szCs w:val="20"/>
              </w:rPr>
              <w:t>(16)</w:t>
            </w:r>
          </w:p>
        </w:tc>
      </w:tr>
    </w:tbl>
    <w:p w:rsidR="002A771A" w:rsidRDefault="002A771A" w:rsidP="002A771A">
      <w:pPr>
        <w:pStyle w:val="1"/>
        <w:spacing w:before="0" w:after="0" w:line="320" w:lineRule="exact"/>
        <w:rPr>
          <w:rFonts w:hAnsi="標楷體"/>
          <w:b w:val="0"/>
          <w:szCs w:val="32"/>
        </w:rPr>
        <w:sectPr w:rsidR="002A771A" w:rsidSect="00254F96">
          <w:footerReference w:type="even" r:id="rId12"/>
          <w:footerReference w:type="default" r:id="rId13"/>
          <w:pgSz w:w="11906" w:h="16838" w:code="9"/>
          <w:pgMar w:top="1440" w:right="680" w:bottom="1361" w:left="680" w:header="851" w:footer="992" w:gutter="0"/>
          <w:cols w:space="425"/>
          <w:docGrid w:type="lines" w:linePitch="360"/>
        </w:sectPr>
      </w:pPr>
      <w:r w:rsidRPr="00A50798">
        <w:br w:type="page"/>
      </w:r>
    </w:p>
    <w:p w:rsidR="002A771A" w:rsidRPr="003A5F27" w:rsidRDefault="002A771A" w:rsidP="002A771A">
      <w:pPr>
        <w:pStyle w:val="1"/>
        <w:spacing w:before="0" w:after="0" w:line="320" w:lineRule="exact"/>
      </w:pPr>
      <w:proofErr w:type="gramStart"/>
      <w:r w:rsidRPr="003A5F27">
        <w:rPr>
          <w:rFonts w:hAnsi="標楷體"/>
          <w:b w:val="0"/>
          <w:szCs w:val="32"/>
        </w:rPr>
        <w:lastRenderedPageBreak/>
        <w:t>柒</w:t>
      </w:r>
      <w:proofErr w:type="gramEnd"/>
      <w:r w:rsidRPr="003A5F27">
        <w:rPr>
          <w:rFonts w:hAnsi="標楷體"/>
          <w:b w:val="0"/>
          <w:szCs w:val="32"/>
        </w:rPr>
        <w:t>、槓桿比率</w:t>
      </w:r>
    </w:p>
    <w:p w:rsidR="002A771A" w:rsidRPr="003A5F27" w:rsidRDefault="002A771A" w:rsidP="002A771A">
      <w:pPr>
        <w:spacing w:beforeLines="50" w:before="180" w:line="360" w:lineRule="exact"/>
        <w:ind w:firstLineChars="150" w:firstLine="420"/>
        <w:rPr>
          <w:rFonts w:eastAsia="標楷體"/>
          <w:b/>
          <w:bCs/>
          <w:sz w:val="28"/>
        </w:rPr>
      </w:pPr>
      <w:r w:rsidRPr="003A5F27">
        <w:rPr>
          <w:rFonts w:eastAsia="標楷體" w:hint="eastAsia"/>
          <w:b/>
          <w:bCs/>
          <w:sz w:val="28"/>
        </w:rPr>
        <w:t>【表</w:t>
      </w:r>
      <w:r w:rsidRPr="003A5F27">
        <w:rPr>
          <w:rFonts w:eastAsia="標楷體" w:hint="eastAsia"/>
          <w:b/>
          <w:bCs/>
          <w:sz w:val="28"/>
        </w:rPr>
        <w:t>7-A</w:t>
      </w:r>
      <w:r w:rsidRPr="003A5F27">
        <w:rPr>
          <w:rFonts w:eastAsia="標楷體" w:hint="eastAsia"/>
          <w:b/>
          <w:bCs/>
          <w:sz w:val="28"/>
        </w:rPr>
        <w:t>】</w:t>
      </w:r>
      <w:r w:rsidRPr="002422DE">
        <w:rPr>
          <w:rFonts w:eastAsia="標楷體" w:hint="eastAsia"/>
          <w:bCs/>
        </w:rPr>
        <w:t>(</w:t>
      </w:r>
      <w:r w:rsidRPr="002422DE">
        <w:rPr>
          <w:rFonts w:eastAsia="標楷體" w:hint="eastAsia"/>
          <w:bCs/>
        </w:rPr>
        <w:t>修正後</w:t>
      </w:r>
      <w:r w:rsidRPr="002422DE">
        <w:rPr>
          <w:rFonts w:eastAsia="標楷體" w:hint="eastAsia"/>
          <w:bCs/>
        </w:rPr>
        <w:t>)</w:t>
      </w:r>
    </w:p>
    <w:p w:rsidR="002A771A" w:rsidRPr="003A5F27" w:rsidRDefault="002A771A" w:rsidP="002A771A">
      <w:pPr>
        <w:jc w:val="center"/>
        <w:rPr>
          <w:rFonts w:eastAsia="標楷體"/>
        </w:rPr>
      </w:pPr>
      <w:r w:rsidRPr="003A5F27">
        <w:rPr>
          <w:rFonts w:eastAsia="標楷體" w:hint="eastAsia"/>
        </w:rPr>
        <w:t>_________________________</w:t>
      </w:r>
      <w:r w:rsidRPr="003A5F27">
        <w:rPr>
          <w:rFonts w:eastAsia="標楷體" w:hint="eastAsia"/>
        </w:rPr>
        <w:t>銀行</w:t>
      </w:r>
    </w:p>
    <w:p w:rsidR="002A771A" w:rsidRPr="003A5F27" w:rsidRDefault="002A771A" w:rsidP="002A771A">
      <w:pPr>
        <w:pStyle w:val="af3"/>
        <w:spacing w:before="0" w:after="0"/>
        <w:ind w:firstLineChars="1712" w:firstLine="4113"/>
        <w:jc w:val="left"/>
        <w:rPr>
          <w:rFonts w:eastAsia="標楷體"/>
          <w:szCs w:val="24"/>
        </w:rPr>
      </w:pPr>
      <w:r w:rsidRPr="003A5F27">
        <w:rPr>
          <w:rFonts w:eastAsia="標楷體" w:hint="eastAsia"/>
          <w:szCs w:val="24"/>
        </w:rPr>
        <w:t>槓桿比率計算表</w:t>
      </w:r>
    </w:p>
    <w:p w:rsidR="002A771A" w:rsidRPr="003A5F27" w:rsidRDefault="002A771A" w:rsidP="002A771A">
      <w:pPr>
        <w:ind w:firstLineChars="1750" w:firstLine="4200"/>
        <w:rPr>
          <w:rFonts w:eastAsia="標楷體"/>
          <w:kern w:val="0"/>
        </w:rPr>
      </w:pPr>
      <w:r w:rsidRPr="003A5F27">
        <w:rPr>
          <w:rFonts w:eastAsia="標楷體" w:hint="eastAsia"/>
          <w:kern w:val="0"/>
        </w:rPr>
        <w:t>年</w:t>
      </w:r>
      <w:r w:rsidRPr="003A5F27">
        <w:rPr>
          <w:rFonts w:eastAsia="標楷體" w:hint="eastAsia"/>
          <w:kern w:val="0"/>
        </w:rPr>
        <w:t xml:space="preserve">    </w:t>
      </w:r>
      <w:r w:rsidRPr="003A5F27">
        <w:rPr>
          <w:rFonts w:eastAsia="標楷體" w:hint="eastAsia"/>
          <w:kern w:val="0"/>
        </w:rPr>
        <w:t>月</w:t>
      </w:r>
      <w:r w:rsidRPr="003A5F27">
        <w:rPr>
          <w:rFonts w:eastAsia="標楷體" w:hint="eastAsia"/>
          <w:kern w:val="0"/>
        </w:rPr>
        <w:t xml:space="preserve">    </w:t>
      </w:r>
      <w:r w:rsidRPr="003A5F27">
        <w:rPr>
          <w:rFonts w:eastAsia="標楷體" w:hint="eastAsia"/>
          <w:kern w:val="0"/>
        </w:rPr>
        <w:t>日</w:t>
      </w:r>
      <w:r w:rsidRPr="003A5F27">
        <w:rPr>
          <w:rFonts w:eastAsia="標楷體" w:hint="eastAsia"/>
          <w:kern w:val="0"/>
        </w:rPr>
        <w:t xml:space="preserve">      </w:t>
      </w:r>
      <w:r w:rsidRPr="003A5F27">
        <w:rPr>
          <w:rFonts w:eastAsia="標楷體" w:hint="eastAsia"/>
          <w:kern w:val="0"/>
        </w:rPr>
        <w:t>單位</w:t>
      </w:r>
      <w:r w:rsidRPr="003A5F27">
        <w:rPr>
          <w:rFonts w:eastAsia="標楷體" w:hint="eastAsia"/>
          <w:kern w:val="0"/>
        </w:rPr>
        <w:t>:</w:t>
      </w:r>
      <w:r w:rsidRPr="003A5F27">
        <w:rPr>
          <w:rFonts w:eastAsia="標楷體" w:hint="eastAsia"/>
          <w:kern w:val="0"/>
        </w:rPr>
        <w:t>新臺幣千元</w:t>
      </w:r>
      <w:r w:rsidRPr="003A5F27">
        <w:rPr>
          <w:rFonts w:ascii="標楷體" w:eastAsia="標楷體" w:hAnsi="標楷體" w:cs="新細明體" w:hint="eastAsia"/>
          <w:kern w:val="0"/>
        </w:rPr>
        <w:t>；%</w:t>
      </w: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5664"/>
      </w:tblGrid>
      <w:tr w:rsidR="002A771A" w:rsidRPr="003A5F27" w:rsidTr="008F3C1C">
        <w:trPr>
          <w:trHeight w:val="650"/>
          <w:jc w:val="center"/>
        </w:trPr>
        <w:tc>
          <w:tcPr>
            <w:tcW w:w="4177" w:type="dxa"/>
            <w:shd w:val="clear" w:color="auto" w:fill="E6E6E6"/>
            <w:vAlign w:val="center"/>
          </w:tcPr>
          <w:p w:rsidR="002A771A" w:rsidRPr="003A5F27" w:rsidRDefault="002A771A" w:rsidP="008F3C1C">
            <w:pPr>
              <w:spacing w:line="320" w:lineRule="exact"/>
              <w:ind w:left="389"/>
              <w:jc w:val="center"/>
              <w:rPr>
                <w:rFonts w:eastAsia="標楷體"/>
              </w:rPr>
            </w:pPr>
            <w:r w:rsidRPr="003A5F27">
              <w:rPr>
                <w:rFonts w:eastAsia="標楷體" w:hint="eastAsia"/>
              </w:rPr>
              <w:t>項目</w:t>
            </w:r>
          </w:p>
        </w:tc>
        <w:tc>
          <w:tcPr>
            <w:tcW w:w="5664" w:type="dxa"/>
            <w:shd w:val="clear" w:color="auto" w:fill="E6E6E6"/>
            <w:vAlign w:val="center"/>
          </w:tcPr>
          <w:p w:rsidR="002A771A" w:rsidRPr="003A5F27" w:rsidRDefault="002A771A" w:rsidP="008F3C1C">
            <w:pPr>
              <w:spacing w:line="320" w:lineRule="exact"/>
              <w:ind w:left="389"/>
              <w:jc w:val="center"/>
              <w:rPr>
                <w:rFonts w:eastAsia="標楷體"/>
                <w:u w:val="single"/>
              </w:rPr>
            </w:pPr>
            <w:r w:rsidRPr="003A5F27">
              <w:rPr>
                <w:rFonts w:eastAsia="標楷體" w:hint="eastAsia"/>
                <w:u w:val="single"/>
              </w:rPr>
              <w:t>金額</w:t>
            </w:r>
          </w:p>
        </w:tc>
      </w:tr>
      <w:tr w:rsidR="002A771A" w:rsidRPr="003A5F27" w:rsidTr="008F3C1C">
        <w:trPr>
          <w:trHeight w:val="447"/>
          <w:jc w:val="center"/>
        </w:trPr>
        <w:tc>
          <w:tcPr>
            <w:tcW w:w="4177" w:type="dxa"/>
          </w:tcPr>
          <w:p w:rsidR="002A771A" w:rsidRPr="003A5F27" w:rsidRDefault="002A771A" w:rsidP="008F3C1C">
            <w:pPr>
              <w:spacing w:line="320" w:lineRule="exact"/>
              <w:rPr>
                <w:rFonts w:eastAsia="標楷體" w:hAnsi="標楷體"/>
              </w:rPr>
            </w:pPr>
            <w:r w:rsidRPr="003A5F27">
              <w:rPr>
                <w:rFonts w:eastAsia="標楷體" w:hint="eastAsia"/>
              </w:rPr>
              <w:t>第一類資本淨額</w:t>
            </w:r>
            <w:r w:rsidRPr="003A5F27">
              <w:rPr>
                <w:rFonts w:eastAsia="標楷體" w:hAnsi="標楷體" w:hint="eastAsia"/>
                <w:u w:val="single"/>
              </w:rPr>
              <w:t>（</w:t>
            </w:r>
            <w:r w:rsidRPr="003A5F27">
              <w:rPr>
                <w:rFonts w:eastAsia="標楷體" w:hAnsi="標楷體" w:hint="eastAsia"/>
                <w:u w:val="single"/>
              </w:rPr>
              <w:t>A</w:t>
            </w:r>
            <w:r w:rsidRPr="003A5F27">
              <w:rPr>
                <w:rFonts w:eastAsia="標楷體" w:hAnsi="標楷體" w:hint="eastAsia"/>
                <w:u w:val="single"/>
              </w:rPr>
              <w:t>）</w:t>
            </w:r>
          </w:p>
        </w:tc>
        <w:tc>
          <w:tcPr>
            <w:tcW w:w="5664" w:type="dxa"/>
            <w:vAlign w:val="center"/>
          </w:tcPr>
          <w:p w:rsidR="002A771A" w:rsidRPr="003A5F27" w:rsidRDefault="002A771A" w:rsidP="008F3C1C">
            <w:pPr>
              <w:spacing w:line="320" w:lineRule="exact"/>
              <w:ind w:left="389"/>
              <w:jc w:val="center"/>
              <w:rPr>
                <w:rFonts w:eastAsia="標楷體"/>
              </w:rPr>
            </w:pPr>
          </w:p>
        </w:tc>
      </w:tr>
      <w:tr w:rsidR="002A771A" w:rsidRPr="003A5F27" w:rsidTr="008F3C1C">
        <w:trPr>
          <w:trHeight w:val="315"/>
          <w:jc w:val="center"/>
        </w:trPr>
        <w:tc>
          <w:tcPr>
            <w:tcW w:w="4177" w:type="dxa"/>
          </w:tcPr>
          <w:p w:rsidR="002A771A" w:rsidRPr="003A5F27" w:rsidRDefault="002A771A" w:rsidP="008F3C1C">
            <w:pPr>
              <w:spacing w:line="320" w:lineRule="exact"/>
              <w:rPr>
                <w:rFonts w:eastAsia="標楷體" w:hAnsi="標楷體"/>
              </w:rPr>
            </w:pPr>
            <w:proofErr w:type="gramStart"/>
            <w:r w:rsidRPr="003A5F27">
              <w:rPr>
                <w:rFonts w:eastAsia="標楷體" w:hAnsi="標楷體"/>
              </w:rPr>
              <w:t>暴險</w:t>
            </w:r>
            <w:r w:rsidRPr="003A5F27">
              <w:rPr>
                <w:rFonts w:eastAsia="標楷體" w:hAnsi="標楷體" w:hint="eastAsia"/>
              </w:rPr>
              <w:t>總</w:t>
            </w:r>
            <w:r w:rsidRPr="003A5F27">
              <w:rPr>
                <w:rFonts w:eastAsia="標楷體" w:hAnsi="標楷體"/>
              </w:rPr>
              <w:t>額</w:t>
            </w:r>
            <w:proofErr w:type="gramEnd"/>
            <w:r w:rsidRPr="003A5F27">
              <w:rPr>
                <w:rFonts w:eastAsia="標楷體" w:hAnsi="標楷體" w:hint="eastAsia"/>
              </w:rPr>
              <w:t>（</w:t>
            </w:r>
            <w:r w:rsidRPr="003A5F27">
              <w:rPr>
                <w:rFonts w:eastAsia="標楷體" w:hAnsi="標楷體" w:hint="eastAsia"/>
              </w:rPr>
              <w:t>B</w:t>
            </w:r>
            <w:r w:rsidRPr="003A5F27">
              <w:rPr>
                <w:rFonts w:eastAsia="標楷體" w:hAnsi="標楷體" w:hint="eastAsia"/>
              </w:rPr>
              <w:t>）</w:t>
            </w:r>
          </w:p>
          <w:p w:rsidR="002A771A" w:rsidRPr="003A5F27" w:rsidRDefault="002A771A" w:rsidP="008F3C1C">
            <w:pPr>
              <w:spacing w:line="320" w:lineRule="exact"/>
              <w:rPr>
                <w:rFonts w:eastAsia="標楷體"/>
              </w:rPr>
            </w:pPr>
            <w:proofErr w:type="gramStart"/>
            <w:r w:rsidRPr="003A5F27">
              <w:rPr>
                <w:rFonts w:eastAsia="標楷體" w:hint="eastAsia"/>
              </w:rPr>
              <w:t>（</w:t>
            </w:r>
            <w:proofErr w:type="gramEnd"/>
            <w:r w:rsidRPr="003A5F27">
              <w:rPr>
                <w:rFonts w:eastAsia="標楷體" w:hint="eastAsia"/>
              </w:rPr>
              <w:t>表</w:t>
            </w:r>
            <w:r w:rsidRPr="003A5F27">
              <w:rPr>
                <w:rFonts w:eastAsia="標楷體" w:hint="eastAsia"/>
              </w:rPr>
              <w:t xml:space="preserve">7-A1, </w:t>
            </w:r>
            <w:proofErr w:type="gramStart"/>
            <w:r w:rsidRPr="003A5F27">
              <w:rPr>
                <w:rFonts w:eastAsia="標楷體" w:hint="eastAsia"/>
              </w:rPr>
              <w:t>（</w:t>
            </w:r>
            <w:proofErr w:type="gramEnd"/>
            <w:r w:rsidRPr="003A5F27">
              <w:rPr>
                <w:rFonts w:eastAsia="標楷體" w:hint="eastAsia"/>
                <w:u w:val="single"/>
              </w:rPr>
              <w:t>E</w:t>
            </w:r>
            <w:proofErr w:type="gramStart"/>
            <w:r w:rsidRPr="003A5F27">
              <w:rPr>
                <w:rFonts w:eastAsia="標楷體" w:hint="eastAsia"/>
              </w:rPr>
              <w:t>））</w:t>
            </w:r>
            <w:proofErr w:type="gramEnd"/>
          </w:p>
        </w:tc>
        <w:tc>
          <w:tcPr>
            <w:tcW w:w="5664" w:type="dxa"/>
            <w:vAlign w:val="center"/>
          </w:tcPr>
          <w:p w:rsidR="002A771A" w:rsidRPr="003A5F27" w:rsidRDefault="002A771A" w:rsidP="008F3C1C">
            <w:pPr>
              <w:spacing w:line="320" w:lineRule="exact"/>
              <w:ind w:left="389"/>
              <w:jc w:val="center"/>
              <w:rPr>
                <w:rFonts w:eastAsia="標楷體"/>
              </w:rPr>
            </w:pPr>
          </w:p>
        </w:tc>
      </w:tr>
      <w:tr w:rsidR="002A771A" w:rsidRPr="003A5F27" w:rsidTr="008F3C1C">
        <w:trPr>
          <w:trHeight w:val="230"/>
          <w:jc w:val="center"/>
        </w:trPr>
        <w:tc>
          <w:tcPr>
            <w:tcW w:w="4177" w:type="dxa"/>
          </w:tcPr>
          <w:p w:rsidR="002A771A" w:rsidRPr="003A5F27" w:rsidRDefault="002A771A" w:rsidP="008F3C1C">
            <w:pPr>
              <w:spacing w:line="320" w:lineRule="exact"/>
              <w:rPr>
                <w:rFonts w:eastAsia="標楷體"/>
              </w:rPr>
            </w:pPr>
            <w:r w:rsidRPr="003A5F27">
              <w:rPr>
                <w:rFonts w:eastAsia="標楷體" w:hint="eastAsia"/>
              </w:rPr>
              <w:t>槓桿比率（</w:t>
            </w:r>
            <w:r w:rsidRPr="003A5F27">
              <w:rPr>
                <w:rFonts w:eastAsia="標楷體" w:hint="eastAsia"/>
              </w:rPr>
              <w:t>C</w:t>
            </w:r>
            <w:r w:rsidRPr="003A5F27">
              <w:rPr>
                <w:rFonts w:eastAsia="標楷體" w:hint="eastAsia"/>
              </w:rPr>
              <w:t>）</w:t>
            </w:r>
            <w:r w:rsidRPr="003A5F27">
              <w:rPr>
                <w:rFonts w:eastAsia="標楷體" w:hint="eastAsia"/>
              </w:rPr>
              <w:t>=</w:t>
            </w:r>
            <w:r w:rsidRPr="003A5F27">
              <w:rPr>
                <w:rFonts w:eastAsia="標楷體" w:hint="eastAsia"/>
              </w:rPr>
              <w:t>（</w:t>
            </w:r>
            <w:r w:rsidRPr="003A5F27">
              <w:rPr>
                <w:rFonts w:eastAsia="標楷體" w:hint="eastAsia"/>
              </w:rPr>
              <w:t>A</w:t>
            </w:r>
            <w:r w:rsidRPr="003A5F27">
              <w:rPr>
                <w:rFonts w:eastAsia="標楷體" w:hint="eastAsia"/>
              </w:rPr>
              <w:t>）／（</w:t>
            </w:r>
            <w:r w:rsidRPr="003A5F27">
              <w:rPr>
                <w:rFonts w:eastAsia="標楷體" w:hint="eastAsia"/>
              </w:rPr>
              <w:t>B</w:t>
            </w:r>
            <w:r w:rsidRPr="003A5F27">
              <w:rPr>
                <w:rFonts w:eastAsia="標楷體" w:hint="eastAsia"/>
              </w:rPr>
              <w:t>）</w:t>
            </w:r>
          </w:p>
        </w:tc>
        <w:tc>
          <w:tcPr>
            <w:tcW w:w="5664" w:type="dxa"/>
            <w:vAlign w:val="center"/>
          </w:tcPr>
          <w:p w:rsidR="002A771A" w:rsidRPr="003A5F27" w:rsidRDefault="002A771A" w:rsidP="008F3C1C">
            <w:pPr>
              <w:spacing w:line="320" w:lineRule="exact"/>
              <w:ind w:left="389"/>
              <w:jc w:val="center"/>
              <w:rPr>
                <w:rFonts w:eastAsia="標楷體"/>
              </w:rPr>
            </w:pPr>
          </w:p>
        </w:tc>
      </w:tr>
    </w:tbl>
    <w:p w:rsidR="002A771A" w:rsidRPr="003A5F27" w:rsidRDefault="002A771A" w:rsidP="002A771A">
      <w:pPr>
        <w:tabs>
          <w:tab w:val="left" w:pos="10260"/>
        </w:tabs>
        <w:spacing w:line="260" w:lineRule="exact"/>
        <w:ind w:leftChars="118" w:left="715" w:rightChars="120" w:right="288" w:hangingChars="180" w:hanging="432"/>
        <w:jc w:val="both"/>
        <w:rPr>
          <w:rFonts w:ascii="標楷體" w:eastAsia="標楷體" w:hAnsi="標楷體"/>
          <w:bCs/>
          <w:u w:val="single"/>
        </w:rPr>
      </w:pPr>
      <w:proofErr w:type="gramStart"/>
      <w:r w:rsidRPr="003A5F27">
        <w:rPr>
          <w:rFonts w:ascii="標楷體" w:eastAsia="標楷體" w:hAnsi="標楷體" w:hint="eastAsia"/>
          <w:bCs/>
          <w:u w:val="single"/>
        </w:rPr>
        <w:t>註</w:t>
      </w:r>
      <w:proofErr w:type="gramEnd"/>
      <w:r w:rsidRPr="003A5F27">
        <w:rPr>
          <w:rFonts w:ascii="標楷體" w:eastAsia="標楷體" w:hAnsi="標楷體" w:hint="eastAsia"/>
          <w:bCs/>
          <w:u w:val="single"/>
        </w:rPr>
        <w:t>：已自第一類資本扣除之金額得</w:t>
      </w:r>
      <w:proofErr w:type="gramStart"/>
      <w:r w:rsidRPr="003A5F27">
        <w:rPr>
          <w:rFonts w:ascii="標楷體" w:eastAsia="標楷體" w:hAnsi="標楷體" w:hint="eastAsia"/>
          <w:bCs/>
          <w:u w:val="single"/>
        </w:rPr>
        <w:t>自暴險總額</w:t>
      </w:r>
      <w:proofErr w:type="gramEnd"/>
      <w:r w:rsidRPr="003A5F27">
        <w:rPr>
          <w:rFonts w:ascii="標楷體" w:eastAsia="標楷體" w:hAnsi="標楷體" w:hint="eastAsia"/>
          <w:bCs/>
          <w:u w:val="single"/>
        </w:rPr>
        <w:t>中扣除，惟與資產項目無關之</w:t>
      </w:r>
      <w:r w:rsidRPr="003A5F27">
        <w:rPr>
          <w:rFonts w:eastAsia="標楷體" w:hint="eastAsia"/>
          <w:bCs/>
          <w:u w:val="single"/>
        </w:rPr>
        <w:t>調整不得</w:t>
      </w:r>
      <w:proofErr w:type="gramStart"/>
      <w:r w:rsidRPr="003A5F27">
        <w:rPr>
          <w:rFonts w:eastAsia="標楷體" w:hint="eastAsia"/>
          <w:bCs/>
          <w:u w:val="single"/>
        </w:rPr>
        <w:t>自暴險總額</w:t>
      </w:r>
      <w:proofErr w:type="gramEnd"/>
      <w:r w:rsidRPr="003A5F27">
        <w:rPr>
          <w:rFonts w:eastAsia="標楷體" w:hint="eastAsia"/>
          <w:bCs/>
          <w:u w:val="single"/>
        </w:rPr>
        <w:t>中扣除</w:t>
      </w:r>
      <w:r w:rsidRPr="003A5F27">
        <w:rPr>
          <w:rFonts w:ascii="標楷體" w:eastAsia="標楷體" w:hAnsi="標楷體" w:hint="eastAsia"/>
          <w:bCs/>
          <w:u w:val="single"/>
        </w:rPr>
        <w:t>，</w:t>
      </w:r>
      <w:r w:rsidRPr="003A5F27">
        <w:rPr>
          <w:rFonts w:eastAsia="標楷體" w:hint="eastAsia"/>
          <w:bCs/>
          <w:u w:val="single"/>
        </w:rPr>
        <w:t>例如：預付退休金或員工福利負債準備中屬確定福利計畫所提列之確定福利負債之提列不足數、庫藏股、銀行之負債因其本身信用風險之變動所認列之未實現損失或利益等。</w:t>
      </w:r>
    </w:p>
    <w:p w:rsidR="002A771A" w:rsidRPr="003A5F27" w:rsidRDefault="002A771A" w:rsidP="002A771A">
      <w:pPr>
        <w:spacing w:beforeLines="50" w:before="180" w:line="340" w:lineRule="exact"/>
        <w:rPr>
          <w:rFonts w:eastAsia="標楷體"/>
          <w:b/>
          <w:bCs/>
          <w:sz w:val="28"/>
        </w:rPr>
      </w:pPr>
      <w:r w:rsidRPr="003A5F27">
        <w:rPr>
          <w:rFonts w:hint="eastAsia"/>
        </w:rPr>
        <w:t xml:space="preserve">     </w:t>
      </w:r>
      <w:r w:rsidRPr="003A5F27">
        <w:rPr>
          <w:rFonts w:eastAsia="標楷體" w:hint="eastAsia"/>
          <w:b/>
          <w:bCs/>
          <w:sz w:val="28"/>
        </w:rPr>
        <w:t>【表</w:t>
      </w:r>
      <w:r w:rsidRPr="003A5F27">
        <w:rPr>
          <w:rFonts w:eastAsia="標楷體" w:hint="eastAsia"/>
          <w:b/>
          <w:bCs/>
          <w:sz w:val="28"/>
        </w:rPr>
        <w:t>7-A1</w:t>
      </w:r>
      <w:r w:rsidRPr="003A5F27">
        <w:rPr>
          <w:rFonts w:eastAsia="標楷體" w:hint="eastAsia"/>
          <w:b/>
          <w:bCs/>
          <w:sz w:val="28"/>
        </w:rPr>
        <w:t>】</w:t>
      </w:r>
    </w:p>
    <w:p w:rsidR="002A771A" w:rsidRPr="003A5F27" w:rsidRDefault="002A771A" w:rsidP="002A771A">
      <w:pPr>
        <w:jc w:val="center"/>
        <w:rPr>
          <w:rFonts w:eastAsia="標楷體"/>
        </w:rPr>
      </w:pPr>
      <w:r w:rsidRPr="003A5F27">
        <w:rPr>
          <w:rFonts w:eastAsia="標楷體" w:hint="eastAsia"/>
        </w:rPr>
        <w:t>_________________________</w:t>
      </w:r>
      <w:r w:rsidRPr="003A5F27">
        <w:rPr>
          <w:rFonts w:eastAsia="標楷體" w:hint="eastAsia"/>
        </w:rPr>
        <w:t>銀行</w:t>
      </w:r>
    </w:p>
    <w:p w:rsidR="002A771A" w:rsidRPr="003A5F27" w:rsidRDefault="002A771A" w:rsidP="002A771A">
      <w:pPr>
        <w:pStyle w:val="af3"/>
        <w:spacing w:before="0" w:after="0"/>
        <w:ind w:firstLineChars="1712" w:firstLine="4113"/>
        <w:jc w:val="left"/>
        <w:rPr>
          <w:rFonts w:eastAsia="標楷體"/>
          <w:szCs w:val="24"/>
        </w:rPr>
      </w:pPr>
      <w:proofErr w:type="gramStart"/>
      <w:r w:rsidRPr="003A5F27">
        <w:rPr>
          <w:rFonts w:eastAsia="標楷體" w:hint="eastAsia"/>
          <w:szCs w:val="24"/>
        </w:rPr>
        <w:t>暴險總額</w:t>
      </w:r>
      <w:proofErr w:type="gramEnd"/>
      <w:r w:rsidRPr="003A5F27">
        <w:rPr>
          <w:rFonts w:eastAsia="標楷體" w:hint="eastAsia"/>
          <w:szCs w:val="24"/>
        </w:rPr>
        <w:t>計算表</w:t>
      </w:r>
    </w:p>
    <w:p w:rsidR="002A771A" w:rsidRPr="003A5F27" w:rsidRDefault="002A771A" w:rsidP="002A771A">
      <w:pPr>
        <w:ind w:firstLine="4080"/>
        <w:rPr>
          <w:rFonts w:eastAsia="標楷體"/>
          <w:kern w:val="0"/>
        </w:rPr>
      </w:pPr>
      <w:r w:rsidRPr="003A5F27">
        <w:rPr>
          <w:rFonts w:eastAsia="標楷體" w:hint="eastAsia"/>
          <w:kern w:val="0"/>
        </w:rPr>
        <w:t>年</w:t>
      </w:r>
      <w:r w:rsidRPr="003A5F27">
        <w:rPr>
          <w:rFonts w:eastAsia="標楷體" w:hint="eastAsia"/>
          <w:kern w:val="0"/>
        </w:rPr>
        <w:t xml:space="preserve">    </w:t>
      </w:r>
      <w:r w:rsidRPr="003A5F27">
        <w:rPr>
          <w:rFonts w:eastAsia="標楷體" w:hint="eastAsia"/>
          <w:kern w:val="0"/>
        </w:rPr>
        <w:t>月</w:t>
      </w:r>
      <w:r w:rsidRPr="003A5F27">
        <w:rPr>
          <w:rFonts w:eastAsia="標楷體" w:hint="eastAsia"/>
          <w:kern w:val="0"/>
        </w:rPr>
        <w:t xml:space="preserve">    </w:t>
      </w:r>
      <w:r w:rsidRPr="003A5F27">
        <w:rPr>
          <w:rFonts w:eastAsia="標楷體" w:hint="eastAsia"/>
          <w:kern w:val="0"/>
        </w:rPr>
        <w:t>日</w:t>
      </w:r>
      <w:r w:rsidRPr="003A5F27">
        <w:rPr>
          <w:rFonts w:eastAsia="標楷體" w:hint="eastAsia"/>
          <w:kern w:val="0"/>
        </w:rPr>
        <w:t xml:space="preserve">                </w:t>
      </w:r>
      <w:r w:rsidRPr="003A5F27">
        <w:rPr>
          <w:rFonts w:eastAsia="標楷體" w:hint="eastAsia"/>
          <w:kern w:val="0"/>
        </w:rPr>
        <w:t>單位</w:t>
      </w:r>
      <w:r w:rsidRPr="003A5F27">
        <w:rPr>
          <w:rFonts w:eastAsia="標楷體" w:hint="eastAsia"/>
          <w:kern w:val="0"/>
        </w:rPr>
        <w:t>:</w:t>
      </w:r>
      <w:r w:rsidRPr="003A5F27">
        <w:rPr>
          <w:rFonts w:eastAsia="標楷體" w:hint="eastAsia"/>
          <w:kern w:val="0"/>
        </w:rPr>
        <w:t>新臺幣千元</w:t>
      </w:r>
    </w:p>
    <w:tbl>
      <w:tblPr>
        <w:tblW w:w="9846"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202"/>
        <w:gridCol w:w="5584"/>
      </w:tblGrid>
      <w:tr w:rsidR="002A771A" w:rsidRPr="003A5F27" w:rsidTr="008F3C1C">
        <w:trPr>
          <w:trHeight w:val="690"/>
          <w:jc w:val="center"/>
        </w:trPr>
        <w:tc>
          <w:tcPr>
            <w:tcW w:w="4262" w:type="dxa"/>
            <w:gridSpan w:val="2"/>
            <w:shd w:val="clear" w:color="auto" w:fill="E6E6E6"/>
            <w:vAlign w:val="center"/>
          </w:tcPr>
          <w:p w:rsidR="002A771A" w:rsidRPr="003A5F27" w:rsidRDefault="002A771A" w:rsidP="008F3C1C">
            <w:pPr>
              <w:spacing w:line="340" w:lineRule="exact"/>
              <w:ind w:left="389"/>
              <w:jc w:val="center"/>
              <w:rPr>
                <w:rFonts w:ascii="標楷體" w:eastAsia="標楷體" w:hAnsi="標楷體"/>
                <w:b/>
              </w:rPr>
            </w:pPr>
            <w:r w:rsidRPr="003A5F27">
              <w:rPr>
                <w:rFonts w:ascii="標楷體" w:eastAsia="標楷體" w:hAnsi="標楷體" w:hint="eastAsia"/>
                <w:b/>
              </w:rPr>
              <w:t>資產負債表項目</w:t>
            </w:r>
          </w:p>
        </w:tc>
        <w:tc>
          <w:tcPr>
            <w:tcW w:w="5584" w:type="dxa"/>
            <w:shd w:val="clear" w:color="auto" w:fill="E6E6E6"/>
            <w:vAlign w:val="center"/>
          </w:tcPr>
          <w:p w:rsidR="002A771A" w:rsidRPr="003A5F27" w:rsidRDefault="002A771A" w:rsidP="008F3C1C">
            <w:pPr>
              <w:spacing w:line="340" w:lineRule="exact"/>
              <w:jc w:val="center"/>
              <w:rPr>
                <w:rFonts w:ascii="標楷體" w:eastAsia="標楷體" w:hAnsi="標楷體"/>
                <w:b/>
              </w:rPr>
            </w:pPr>
            <w:proofErr w:type="gramStart"/>
            <w:r w:rsidRPr="003A5F27">
              <w:rPr>
                <w:rFonts w:ascii="標楷體" w:eastAsia="標楷體" w:hAnsi="標楷體" w:hint="eastAsia"/>
                <w:b/>
              </w:rPr>
              <w:t>暴險金額</w:t>
            </w:r>
            <w:proofErr w:type="gramEnd"/>
          </w:p>
        </w:tc>
      </w:tr>
      <w:tr w:rsidR="002A771A" w:rsidRPr="003A5F27" w:rsidTr="008F3C1C">
        <w:trPr>
          <w:jc w:val="center"/>
        </w:trPr>
        <w:tc>
          <w:tcPr>
            <w:tcW w:w="4262" w:type="dxa"/>
            <w:gridSpan w:val="2"/>
          </w:tcPr>
          <w:p w:rsidR="002A771A" w:rsidRPr="003A5F27" w:rsidRDefault="002A771A" w:rsidP="008F3C1C">
            <w:pPr>
              <w:spacing w:line="340" w:lineRule="exact"/>
              <w:ind w:leftChars="-13" w:left="-31"/>
              <w:rPr>
                <w:rFonts w:eastAsia="標楷體"/>
                <w:b/>
                <w:u w:val="single"/>
              </w:rPr>
            </w:pPr>
            <w:r w:rsidRPr="003A5F27">
              <w:rPr>
                <w:rFonts w:eastAsia="標楷體" w:hAnsi="標楷體"/>
                <w:b/>
                <w:u w:val="single"/>
              </w:rPr>
              <w:t>表內資產（</w:t>
            </w:r>
            <w:r w:rsidRPr="003A5F27">
              <w:rPr>
                <w:rFonts w:eastAsia="標楷體"/>
                <w:b/>
                <w:u w:val="single"/>
              </w:rPr>
              <w:t>A</w:t>
            </w:r>
            <w:r w:rsidRPr="003A5F27">
              <w:rPr>
                <w:rFonts w:eastAsia="標楷體" w:hAnsi="標楷體"/>
                <w:b/>
                <w:u w:val="single"/>
              </w:rPr>
              <w:t>）</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4262" w:type="dxa"/>
            <w:gridSpan w:val="2"/>
          </w:tcPr>
          <w:p w:rsidR="002A771A" w:rsidRPr="003A5F27" w:rsidRDefault="002A771A" w:rsidP="008F3C1C">
            <w:pPr>
              <w:spacing w:line="340" w:lineRule="exact"/>
              <w:ind w:leftChars="-13" w:left="-31"/>
              <w:rPr>
                <w:rFonts w:eastAsia="標楷體"/>
                <w:b/>
                <w:u w:val="single"/>
              </w:rPr>
            </w:pPr>
            <w:r w:rsidRPr="003A5F27">
              <w:rPr>
                <w:rFonts w:eastAsia="標楷體" w:hAnsi="標楷體"/>
                <w:b/>
                <w:u w:val="single"/>
              </w:rPr>
              <w:t>衍生性金融商品（</w:t>
            </w:r>
            <w:r w:rsidRPr="003A5F27">
              <w:rPr>
                <w:rFonts w:eastAsia="標楷體"/>
                <w:b/>
                <w:u w:val="single"/>
              </w:rPr>
              <w:t>B</w:t>
            </w:r>
            <w:r w:rsidRPr="003A5F27">
              <w:rPr>
                <w:rFonts w:eastAsia="標楷體" w:hAnsi="標楷體"/>
                <w:b/>
                <w:u w:val="single"/>
              </w:rPr>
              <w:t>）</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4262" w:type="dxa"/>
            <w:gridSpan w:val="2"/>
          </w:tcPr>
          <w:p w:rsidR="002A771A" w:rsidRPr="003A5F27" w:rsidRDefault="002A771A" w:rsidP="008F3C1C">
            <w:pPr>
              <w:spacing w:line="340" w:lineRule="exact"/>
              <w:ind w:leftChars="-13" w:left="-31"/>
              <w:rPr>
                <w:rFonts w:eastAsia="標楷體"/>
                <w:b/>
                <w:u w:val="single"/>
              </w:rPr>
            </w:pPr>
            <w:r w:rsidRPr="003A5F27">
              <w:rPr>
                <w:rFonts w:eastAsia="標楷體" w:hAnsi="標楷體"/>
                <w:b/>
                <w:u w:val="single"/>
              </w:rPr>
              <w:t>有價證券融資交易（</w:t>
            </w:r>
            <w:r w:rsidRPr="003A5F27">
              <w:rPr>
                <w:rFonts w:eastAsia="標楷體" w:hint="eastAsia"/>
                <w:b/>
                <w:u w:val="single"/>
              </w:rPr>
              <w:t>C</w:t>
            </w:r>
            <w:r w:rsidRPr="003A5F27">
              <w:rPr>
                <w:rFonts w:eastAsia="標楷體" w:hAnsi="標楷體"/>
                <w:b/>
                <w:u w:val="single"/>
              </w:rPr>
              <w:t>）</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2060" w:type="dxa"/>
            <w:vMerge w:val="restart"/>
          </w:tcPr>
          <w:p w:rsidR="002A771A" w:rsidRPr="003A5F27" w:rsidRDefault="002A771A" w:rsidP="008F3C1C">
            <w:pPr>
              <w:spacing w:line="340" w:lineRule="exact"/>
              <w:ind w:leftChars="-18" w:left="-33" w:rightChars="-45" w:right="-108" w:hangingChars="4" w:hanging="10"/>
              <w:rPr>
                <w:rFonts w:eastAsia="標楷體"/>
                <w:b/>
              </w:rPr>
            </w:pPr>
            <w:r w:rsidRPr="003A5F27">
              <w:rPr>
                <w:rFonts w:eastAsia="標楷體" w:hAnsi="標楷體"/>
                <w:b/>
              </w:rPr>
              <w:t>表外項目</w:t>
            </w:r>
          </w:p>
          <w:p w:rsidR="002A771A" w:rsidRPr="003A5F27" w:rsidRDefault="002A771A" w:rsidP="008F3C1C">
            <w:pPr>
              <w:spacing w:line="340" w:lineRule="exact"/>
              <w:ind w:leftChars="-18" w:rightChars="-45" w:right="-108" w:hangingChars="18" w:hanging="43"/>
              <w:jc w:val="center"/>
              <w:rPr>
                <w:rFonts w:eastAsia="標楷體"/>
              </w:rPr>
            </w:pPr>
            <w:proofErr w:type="gramStart"/>
            <w:r w:rsidRPr="003A5F27">
              <w:rPr>
                <w:rFonts w:eastAsia="標楷體"/>
                <w:b/>
              </w:rPr>
              <w:t>—</w:t>
            </w:r>
            <w:proofErr w:type="gramEnd"/>
            <w:r w:rsidRPr="003A5F27">
              <w:rPr>
                <w:rFonts w:eastAsia="標楷體" w:hAnsi="標楷體"/>
                <w:b/>
              </w:rPr>
              <w:t>信用轉換係數</w:t>
            </w:r>
          </w:p>
        </w:tc>
        <w:tc>
          <w:tcPr>
            <w:tcW w:w="2202" w:type="dxa"/>
            <w:shd w:val="clear" w:color="auto" w:fill="auto"/>
          </w:tcPr>
          <w:p w:rsidR="002A771A" w:rsidRPr="003A5F27" w:rsidRDefault="002A771A" w:rsidP="008F3C1C">
            <w:pPr>
              <w:spacing w:line="340" w:lineRule="exact"/>
              <w:rPr>
                <w:rFonts w:eastAsia="標楷體"/>
              </w:rPr>
            </w:pPr>
            <w:r w:rsidRPr="003A5F27">
              <w:rPr>
                <w:rFonts w:eastAsia="標楷體"/>
              </w:rPr>
              <w:t>10%</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2060" w:type="dxa"/>
            <w:vMerge/>
          </w:tcPr>
          <w:p w:rsidR="002A771A" w:rsidRPr="003A5F27" w:rsidRDefault="002A771A" w:rsidP="008F3C1C">
            <w:pPr>
              <w:spacing w:line="340" w:lineRule="exact"/>
              <w:ind w:left="389"/>
              <w:rPr>
                <w:rFonts w:eastAsia="標楷體"/>
              </w:rPr>
            </w:pPr>
          </w:p>
        </w:tc>
        <w:tc>
          <w:tcPr>
            <w:tcW w:w="2202" w:type="dxa"/>
            <w:shd w:val="clear" w:color="auto" w:fill="auto"/>
          </w:tcPr>
          <w:p w:rsidR="002A771A" w:rsidRPr="003A5F27" w:rsidRDefault="002A771A" w:rsidP="008F3C1C">
            <w:pPr>
              <w:spacing w:line="340" w:lineRule="exact"/>
              <w:rPr>
                <w:rFonts w:eastAsia="標楷體"/>
                <w:u w:val="single"/>
              </w:rPr>
            </w:pPr>
            <w:r w:rsidRPr="003A5F27">
              <w:rPr>
                <w:rFonts w:eastAsia="標楷體"/>
                <w:u w:val="single"/>
              </w:rPr>
              <w:t>20%</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2060" w:type="dxa"/>
            <w:vMerge/>
          </w:tcPr>
          <w:p w:rsidR="002A771A" w:rsidRPr="003A5F27" w:rsidRDefault="002A771A" w:rsidP="008F3C1C">
            <w:pPr>
              <w:spacing w:line="340" w:lineRule="exact"/>
              <w:ind w:left="389"/>
              <w:rPr>
                <w:rFonts w:eastAsia="標楷體"/>
              </w:rPr>
            </w:pPr>
          </w:p>
        </w:tc>
        <w:tc>
          <w:tcPr>
            <w:tcW w:w="2202" w:type="dxa"/>
          </w:tcPr>
          <w:p w:rsidR="002A771A" w:rsidRPr="003A5F27" w:rsidRDefault="002A771A" w:rsidP="008F3C1C">
            <w:pPr>
              <w:spacing w:line="340" w:lineRule="exact"/>
              <w:rPr>
                <w:rFonts w:eastAsia="標楷體"/>
                <w:u w:val="single"/>
              </w:rPr>
            </w:pPr>
            <w:r w:rsidRPr="003A5F27">
              <w:rPr>
                <w:rFonts w:eastAsia="標楷體"/>
                <w:u w:val="single"/>
              </w:rPr>
              <w:t>50%</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2060" w:type="dxa"/>
            <w:vMerge/>
          </w:tcPr>
          <w:p w:rsidR="002A771A" w:rsidRPr="003A5F27" w:rsidRDefault="002A771A" w:rsidP="008F3C1C">
            <w:pPr>
              <w:spacing w:line="340" w:lineRule="exact"/>
              <w:ind w:left="389"/>
              <w:rPr>
                <w:rFonts w:eastAsia="標楷體"/>
              </w:rPr>
            </w:pPr>
          </w:p>
        </w:tc>
        <w:tc>
          <w:tcPr>
            <w:tcW w:w="2202" w:type="dxa"/>
          </w:tcPr>
          <w:p w:rsidR="002A771A" w:rsidRPr="003A5F27" w:rsidRDefault="002A771A" w:rsidP="008F3C1C">
            <w:pPr>
              <w:spacing w:line="340" w:lineRule="exact"/>
              <w:rPr>
                <w:rFonts w:eastAsia="標楷體"/>
              </w:rPr>
            </w:pPr>
            <w:r w:rsidRPr="003A5F27">
              <w:rPr>
                <w:rFonts w:eastAsia="標楷體"/>
              </w:rPr>
              <w:t>100%</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2060" w:type="dxa"/>
            <w:vMerge/>
          </w:tcPr>
          <w:p w:rsidR="002A771A" w:rsidRPr="003A5F27" w:rsidRDefault="002A771A" w:rsidP="008F3C1C">
            <w:pPr>
              <w:spacing w:line="340" w:lineRule="exact"/>
              <w:ind w:left="389"/>
              <w:rPr>
                <w:rFonts w:eastAsia="標楷體"/>
              </w:rPr>
            </w:pPr>
          </w:p>
        </w:tc>
        <w:tc>
          <w:tcPr>
            <w:tcW w:w="2202" w:type="dxa"/>
          </w:tcPr>
          <w:p w:rsidR="002A771A" w:rsidRPr="003A5F27" w:rsidRDefault="002A771A" w:rsidP="008F3C1C">
            <w:pPr>
              <w:spacing w:line="340" w:lineRule="exact"/>
              <w:rPr>
                <w:rFonts w:eastAsia="標楷體"/>
              </w:rPr>
            </w:pPr>
            <w:r w:rsidRPr="003A5F27">
              <w:rPr>
                <w:rFonts w:eastAsia="標楷體" w:hAnsi="標楷體"/>
              </w:rPr>
              <w:t>小計（</w:t>
            </w:r>
            <w:r w:rsidRPr="003A5F27">
              <w:rPr>
                <w:rFonts w:eastAsia="標楷體"/>
                <w:b/>
              </w:rPr>
              <w:t>D</w:t>
            </w:r>
            <w:r w:rsidRPr="003A5F27">
              <w:rPr>
                <w:rFonts w:eastAsia="標楷體" w:hAnsi="標楷體"/>
              </w:rPr>
              <w:t>）</w:t>
            </w:r>
          </w:p>
        </w:tc>
        <w:tc>
          <w:tcPr>
            <w:tcW w:w="5584" w:type="dxa"/>
            <w:shd w:val="clear" w:color="auto" w:fill="auto"/>
          </w:tcPr>
          <w:p w:rsidR="002A771A" w:rsidRPr="003A5F27" w:rsidRDefault="002A771A" w:rsidP="008F3C1C">
            <w:pPr>
              <w:spacing w:line="340" w:lineRule="exact"/>
              <w:ind w:left="-36"/>
              <w:jc w:val="center"/>
              <w:rPr>
                <w:rFonts w:eastAsia="標楷體"/>
              </w:rPr>
            </w:pPr>
          </w:p>
        </w:tc>
      </w:tr>
      <w:tr w:rsidR="002A771A" w:rsidRPr="003A5F27" w:rsidTr="008F3C1C">
        <w:trPr>
          <w:jc w:val="center"/>
        </w:trPr>
        <w:tc>
          <w:tcPr>
            <w:tcW w:w="4262" w:type="dxa"/>
            <w:gridSpan w:val="2"/>
          </w:tcPr>
          <w:p w:rsidR="002A771A" w:rsidRPr="003A5F27" w:rsidRDefault="002A771A" w:rsidP="008F3C1C">
            <w:pPr>
              <w:spacing w:line="340" w:lineRule="exact"/>
              <w:ind w:left="-12"/>
              <w:rPr>
                <w:rFonts w:eastAsia="標楷體" w:hAnsi="標楷體"/>
                <w:b/>
              </w:rPr>
            </w:pPr>
            <w:proofErr w:type="gramStart"/>
            <w:r w:rsidRPr="003A5F27">
              <w:rPr>
                <w:rFonts w:eastAsia="標楷體" w:hAnsi="標楷體"/>
                <w:b/>
              </w:rPr>
              <w:t>暴險總額</w:t>
            </w:r>
            <w:proofErr w:type="gramEnd"/>
          </w:p>
          <w:p w:rsidR="002A771A" w:rsidRPr="003A5F27" w:rsidRDefault="002A771A" w:rsidP="008F3C1C">
            <w:pPr>
              <w:spacing w:line="340" w:lineRule="exact"/>
              <w:ind w:left="-12"/>
              <w:rPr>
                <w:rFonts w:eastAsia="標楷體"/>
                <w:u w:val="single"/>
              </w:rPr>
            </w:pPr>
            <w:r w:rsidRPr="003A5F27">
              <w:rPr>
                <w:rFonts w:eastAsia="標楷體" w:hAnsi="標楷體"/>
                <w:b/>
                <w:u w:val="single"/>
              </w:rPr>
              <w:t>（</w:t>
            </w:r>
            <w:r w:rsidRPr="003A5F27">
              <w:rPr>
                <w:rFonts w:eastAsia="標楷體" w:hint="eastAsia"/>
                <w:b/>
                <w:u w:val="single"/>
              </w:rPr>
              <w:t>E</w:t>
            </w:r>
            <w:r w:rsidRPr="003A5F27">
              <w:rPr>
                <w:rFonts w:eastAsia="標楷體" w:hAnsi="標楷體"/>
                <w:b/>
                <w:u w:val="single"/>
              </w:rPr>
              <w:t>）</w:t>
            </w:r>
            <w:r w:rsidRPr="003A5F27">
              <w:rPr>
                <w:rFonts w:eastAsia="標楷體"/>
                <w:b/>
                <w:u w:val="single"/>
              </w:rPr>
              <w:t>=</w:t>
            </w:r>
            <w:r w:rsidRPr="003A5F27">
              <w:rPr>
                <w:rFonts w:eastAsia="標楷體" w:hAnsi="標楷體"/>
                <w:b/>
                <w:u w:val="single"/>
              </w:rPr>
              <w:t>（</w:t>
            </w:r>
            <w:r w:rsidRPr="003A5F27">
              <w:rPr>
                <w:rFonts w:eastAsia="標楷體"/>
                <w:b/>
                <w:u w:val="single"/>
              </w:rPr>
              <w:t>A</w:t>
            </w:r>
            <w:r w:rsidRPr="003A5F27">
              <w:rPr>
                <w:rFonts w:eastAsia="標楷體" w:hAnsi="標楷體"/>
                <w:b/>
                <w:u w:val="single"/>
              </w:rPr>
              <w:t>）＋（</w:t>
            </w:r>
            <w:r w:rsidRPr="003A5F27">
              <w:rPr>
                <w:rFonts w:eastAsia="標楷體"/>
                <w:b/>
                <w:u w:val="single"/>
              </w:rPr>
              <w:t>B</w:t>
            </w:r>
            <w:r w:rsidRPr="003A5F27">
              <w:rPr>
                <w:rFonts w:eastAsia="標楷體" w:hAnsi="標楷體"/>
                <w:b/>
                <w:u w:val="single"/>
              </w:rPr>
              <w:t>）＋（</w:t>
            </w:r>
            <w:r w:rsidRPr="003A5F27">
              <w:rPr>
                <w:rFonts w:eastAsia="標楷體" w:hint="eastAsia"/>
                <w:b/>
                <w:u w:val="single"/>
              </w:rPr>
              <w:t>C</w:t>
            </w:r>
            <w:r w:rsidRPr="003A5F27">
              <w:rPr>
                <w:rFonts w:eastAsia="標楷體" w:hAnsi="標楷體"/>
                <w:b/>
                <w:u w:val="single"/>
              </w:rPr>
              <w:t>）＋（</w:t>
            </w:r>
            <w:r w:rsidRPr="003A5F27">
              <w:rPr>
                <w:rFonts w:eastAsia="標楷體" w:hint="eastAsia"/>
                <w:b/>
                <w:u w:val="single"/>
              </w:rPr>
              <w:t>D</w:t>
            </w:r>
            <w:r w:rsidRPr="003A5F27">
              <w:rPr>
                <w:rFonts w:eastAsia="標楷體" w:hAnsi="標楷體"/>
                <w:b/>
                <w:u w:val="single"/>
              </w:rPr>
              <w:t>）</w:t>
            </w:r>
          </w:p>
        </w:tc>
        <w:tc>
          <w:tcPr>
            <w:tcW w:w="5584" w:type="dxa"/>
            <w:shd w:val="clear" w:color="auto" w:fill="auto"/>
            <w:vAlign w:val="center"/>
          </w:tcPr>
          <w:p w:rsidR="002A771A" w:rsidRPr="003A5F27" w:rsidRDefault="002A771A" w:rsidP="008F3C1C">
            <w:pPr>
              <w:spacing w:line="340" w:lineRule="exact"/>
              <w:ind w:left="-113"/>
              <w:jc w:val="center"/>
              <w:rPr>
                <w:rFonts w:eastAsia="標楷體"/>
              </w:rPr>
            </w:pPr>
            <w:r w:rsidRPr="003A5F27">
              <w:rPr>
                <w:rFonts w:eastAsia="標楷體" w:hAnsi="標楷體"/>
              </w:rPr>
              <w:t>【表</w:t>
            </w:r>
            <w:r w:rsidRPr="003A5F27">
              <w:rPr>
                <w:rFonts w:eastAsia="標楷體"/>
              </w:rPr>
              <w:t>7-A, (B)</w:t>
            </w:r>
            <w:r w:rsidRPr="003A5F27">
              <w:rPr>
                <w:rFonts w:eastAsia="標楷體" w:hAnsi="標楷體"/>
              </w:rPr>
              <w:t>】</w:t>
            </w:r>
          </w:p>
        </w:tc>
      </w:tr>
    </w:tbl>
    <w:p w:rsidR="002A771A" w:rsidRPr="003A5F27" w:rsidRDefault="002A771A" w:rsidP="002A771A">
      <w:pPr>
        <w:tabs>
          <w:tab w:val="left" w:pos="10260"/>
        </w:tabs>
        <w:spacing w:line="260" w:lineRule="exact"/>
        <w:ind w:leftChars="118" w:left="955" w:rightChars="120" w:right="288" w:hangingChars="280" w:hanging="672"/>
        <w:jc w:val="both"/>
        <w:rPr>
          <w:rFonts w:ascii="標楷體" w:eastAsia="標楷體" w:hAnsi="標楷體"/>
          <w:u w:val="single"/>
        </w:rPr>
      </w:pPr>
      <w:proofErr w:type="gramStart"/>
      <w:r w:rsidRPr="003A5F27">
        <w:rPr>
          <w:rFonts w:ascii="標楷體" w:eastAsia="標楷體" w:hAnsi="標楷體" w:hint="eastAsia"/>
          <w:bCs/>
          <w:u w:val="single"/>
        </w:rPr>
        <w:t>註</w:t>
      </w:r>
      <w:proofErr w:type="gramEnd"/>
      <w:r w:rsidRPr="003A5F27">
        <w:rPr>
          <w:rFonts w:ascii="標楷體" w:eastAsia="標楷體" w:hAnsi="標楷體" w:hint="eastAsia"/>
          <w:bCs/>
          <w:u w:val="single"/>
        </w:rPr>
        <w:t>1：</w:t>
      </w:r>
      <w:r w:rsidRPr="003A5F27">
        <w:rPr>
          <w:rFonts w:ascii="標楷體" w:eastAsia="標楷體" w:hAnsi="標楷體" w:hint="eastAsia"/>
          <w:u w:val="single"/>
        </w:rPr>
        <w:t>衍生性金融商品係填報</w:t>
      </w:r>
      <w:proofErr w:type="gramStart"/>
      <w:r w:rsidRPr="003A5F27">
        <w:rPr>
          <w:rFonts w:ascii="標楷體" w:eastAsia="標楷體" w:hAnsi="標楷體" w:hint="eastAsia"/>
          <w:u w:val="single"/>
        </w:rPr>
        <w:t>所有衍</w:t>
      </w:r>
      <w:proofErr w:type="gramEnd"/>
      <w:r w:rsidRPr="003A5F27">
        <w:rPr>
          <w:rFonts w:ascii="標楷體" w:eastAsia="標楷體" w:hAnsi="標楷體" w:hint="eastAsia"/>
          <w:u w:val="single"/>
        </w:rPr>
        <w:t>生性金融商品</w:t>
      </w:r>
      <w:proofErr w:type="gramStart"/>
      <w:r w:rsidRPr="003A5F27">
        <w:rPr>
          <w:rFonts w:ascii="標楷體" w:eastAsia="標楷體" w:hAnsi="標楷體" w:hint="eastAsia"/>
          <w:u w:val="single"/>
        </w:rPr>
        <w:t>之暴險</w:t>
      </w:r>
      <w:proofErr w:type="gramEnd"/>
      <w:r w:rsidRPr="003A5F27">
        <w:rPr>
          <w:rFonts w:ascii="標楷體" w:eastAsia="標楷體" w:hAnsi="標楷體" w:hint="eastAsia"/>
          <w:u w:val="single"/>
        </w:rPr>
        <w:t>，包含原始契約低於14日之外匯契約與店頭市場賣出選擇權。</w:t>
      </w:r>
    </w:p>
    <w:p w:rsidR="002A771A" w:rsidRPr="003A5F27" w:rsidRDefault="002A771A" w:rsidP="002A771A">
      <w:pPr>
        <w:tabs>
          <w:tab w:val="left" w:pos="10260"/>
        </w:tabs>
        <w:spacing w:line="260" w:lineRule="exact"/>
        <w:ind w:leftChars="118" w:left="1173" w:rightChars="120" w:right="288" w:hangingChars="371" w:hanging="890"/>
        <w:jc w:val="both"/>
        <w:rPr>
          <w:rFonts w:ascii="標楷體" w:eastAsia="標楷體" w:hAnsi="標楷體"/>
          <w:bCs/>
          <w:u w:val="single"/>
        </w:rPr>
      </w:pPr>
      <w:proofErr w:type="gramStart"/>
      <w:r w:rsidRPr="003A5F27">
        <w:rPr>
          <w:rFonts w:ascii="標楷體" w:eastAsia="標楷體" w:hAnsi="標楷體" w:hint="eastAsia"/>
          <w:bCs/>
          <w:u w:val="single"/>
        </w:rPr>
        <w:t>註</w:t>
      </w:r>
      <w:proofErr w:type="gramEnd"/>
      <w:r w:rsidRPr="003A5F27">
        <w:rPr>
          <w:rFonts w:ascii="標楷體" w:eastAsia="標楷體" w:hAnsi="標楷體" w:hint="eastAsia"/>
          <w:bCs/>
          <w:u w:val="single"/>
        </w:rPr>
        <w:t>2：應收承兌票款列入表外項目填報。</w:t>
      </w:r>
    </w:p>
    <w:p w:rsidR="002A771A" w:rsidRDefault="002A771A" w:rsidP="002A771A">
      <w:r>
        <w:br w:type="page"/>
      </w:r>
    </w:p>
    <w:p w:rsidR="002A771A" w:rsidRPr="00A50798" w:rsidRDefault="002A771A" w:rsidP="002A771A">
      <w:pPr>
        <w:spacing w:line="400" w:lineRule="exact"/>
        <w:rPr>
          <w:rFonts w:eastAsia="標楷體"/>
          <w:b/>
          <w:sz w:val="32"/>
          <w:szCs w:val="32"/>
        </w:rPr>
      </w:pPr>
      <w:proofErr w:type="gramStart"/>
      <w:r w:rsidRPr="00A50798">
        <w:rPr>
          <w:rFonts w:eastAsia="標楷體" w:hAnsi="標楷體"/>
          <w:b/>
          <w:sz w:val="32"/>
          <w:szCs w:val="32"/>
        </w:rPr>
        <w:lastRenderedPageBreak/>
        <w:t>柒</w:t>
      </w:r>
      <w:proofErr w:type="gramEnd"/>
      <w:r w:rsidRPr="00A50798">
        <w:rPr>
          <w:rFonts w:eastAsia="標楷體" w:hAnsi="標楷體"/>
          <w:b/>
          <w:sz w:val="32"/>
          <w:szCs w:val="32"/>
        </w:rPr>
        <w:t>、槓桿比率</w:t>
      </w:r>
    </w:p>
    <w:p w:rsidR="002A771A" w:rsidRPr="00A50798" w:rsidRDefault="002A771A" w:rsidP="002A771A">
      <w:pPr>
        <w:spacing w:beforeLines="50" w:before="180" w:line="360" w:lineRule="exact"/>
        <w:ind w:firstLineChars="150" w:firstLine="420"/>
        <w:rPr>
          <w:rFonts w:eastAsia="標楷體"/>
          <w:b/>
          <w:bCs/>
          <w:sz w:val="28"/>
        </w:rPr>
      </w:pPr>
      <w:r w:rsidRPr="00A50798">
        <w:rPr>
          <w:rFonts w:eastAsia="標楷體" w:hint="eastAsia"/>
          <w:b/>
          <w:bCs/>
          <w:sz w:val="28"/>
        </w:rPr>
        <w:t>【表</w:t>
      </w:r>
      <w:r w:rsidRPr="00A50798">
        <w:rPr>
          <w:rFonts w:eastAsia="標楷體" w:hint="eastAsia"/>
          <w:b/>
          <w:bCs/>
          <w:sz w:val="28"/>
        </w:rPr>
        <w:t>7-A</w:t>
      </w:r>
      <w:r w:rsidRPr="00A50798">
        <w:rPr>
          <w:rFonts w:eastAsia="標楷體" w:hint="eastAsia"/>
          <w:b/>
          <w:bCs/>
          <w:sz w:val="28"/>
        </w:rPr>
        <w:t>】</w:t>
      </w:r>
      <w:r w:rsidRPr="00F75D79">
        <w:rPr>
          <w:rFonts w:eastAsia="標楷體" w:hint="eastAsia"/>
          <w:bCs/>
        </w:rPr>
        <w:t>（修正前）</w:t>
      </w:r>
    </w:p>
    <w:p w:rsidR="002A771A" w:rsidRPr="00A50798" w:rsidRDefault="002A771A" w:rsidP="002A771A">
      <w:pPr>
        <w:jc w:val="center"/>
        <w:rPr>
          <w:rFonts w:eastAsia="標楷體"/>
        </w:rPr>
      </w:pPr>
      <w:r w:rsidRPr="00A50798">
        <w:rPr>
          <w:rFonts w:eastAsia="標楷體" w:hint="eastAsia"/>
        </w:rPr>
        <w:t>_________________________</w:t>
      </w:r>
      <w:r w:rsidRPr="00A50798">
        <w:rPr>
          <w:rFonts w:eastAsia="標楷體" w:hint="eastAsia"/>
        </w:rPr>
        <w:t>銀行</w:t>
      </w:r>
    </w:p>
    <w:p w:rsidR="002A771A" w:rsidRPr="00A50798" w:rsidRDefault="002A771A" w:rsidP="002A771A">
      <w:pPr>
        <w:pStyle w:val="af3"/>
        <w:spacing w:before="0" w:after="0"/>
        <w:ind w:firstLineChars="1712" w:firstLine="4113"/>
        <w:jc w:val="left"/>
        <w:rPr>
          <w:rFonts w:eastAsia="標楷體"/>
          <w:szCs w:val="24"/>
        </w:rPr>
      </w:pPr>
      <w:r w:rsidRPr="00A50798">
        <w:rPr>
          <w:rFonts w:eastAsia="標楷體" w:hint="eastAsia"/>
          <w:szCs w:val="24"/>
        </w:rPr>
        <w:t>槓桿比率計算表</w:t>
      </w:r>
    </w:p>
    <w:p w:rsidR="002A771A" w:rsidRPr="00A50798" w:rsidRDefault="002A771A" w:rsidP="002A771A">
      <w:pPr>
        <w:ind w:firstLineChars="1750" w:firstLine="4200"/>
        <w:rPr>
          <w:rFonts w:eastAsia="標楷體"/>
          <w:kern w:val="0"/>
        </w:rPr>
      </w:pPr>
      <w:r w:rsidRPr="00A50798">
        <w:rPr>
          <w:rFonts w:eastAsia="標楷體" w:hint="eastAsia"/>
          <w:kern w:val="0"/>
        </w:rPr>
        <w:t>年</w:t>
      </w:r>
      <w:r w:rsidRPr="00A50798">
        <w:rPr>
          <w:rFonts w:eastAsia="標楷體" w:hint="eastAsia"/>
          <w:kern w:val="0"/>
        </w:rPr>
        <w:t xml:space="preserve">    </w:t>
      </w:r>
      <w:r w:rsidRPr="00A50798">
        <w:rPr>
          <w:rFonts w:eastAsia="標楷體" w:hint="eastAsia"/>
          <w:kern w:val="0"/>
        </w:rPr>
        <w:t>月</w:t>
      </w:r>
      <w:r w:rsidRPr="00A50798">
        <w:rPr>
          <w:rFonts w:eastAsia="標楷體" w:hint="eastAsia"/>
          <w:kern w:val="0"/>
        </w:rPr>
        <w:t xml:space="preserve">    </w:t>
      </w:r>
      <w:r w:rsidRPr="00A50798">
        <w:rPr>
          <w:rFonts w:eastAsia="標楷體" w:hint="eastAsia"/>
          <w:kern w:val="0"/>
        </w:rPr>
        <w:t>日</w:t>
      </w:r>
      <w:r w:rsidRPr="00A50798">
        <w:rPr>
          <w:rFonts w:eastAsia="標楷體" w:hint="eastAsia"/>
          <w:kern w:val="0"/>
        </w:rPr>
        <w:t xml:space="preserve">      </w:t>
      </w:r>
      <w:r w:rsidRPr="00A50798">
        <w:rPr>
          <w:rFonts w:eastAsia="標楷體" w:hint="eastAsia"/>
          <w:kern w:val="0"/>
        </w:rPr>
        <w:t>單位</w:t>
      </w:r>
      <w:r w:rsidRPr="00A50798">
        <w:rPr>
          <w:rFonts w:eastAsia="標楷體" w:hint="eastAsia"/>
          <w:kern w:val="0"/>
        </w:rPr>
        <w:t>:</w:t>
      </w:r>
      <w:r w:rsidRPr="00A50798">
        <w:rPr>
          <w:rFonts w:eastAsia="標楷體" w:hint="eastAsia"/>
          <w:kern w:val="0"/>
        </w:rPr>
        <w:t>新臺幣千元</w:t>
      </w:r>
    </w:p>
    <w:tbl>
      <w:tblPr>
        <w:tblStyle w:val="a3"/>
        <w:tblW w:w="0" w:type="auto"/>
        <w:jc w:val="center"/>
        <w:tblLook w:val="01E0" w:firstRow="1" w:lastRow="1" w:firstColumn="1" w:lastColumn="1" w:noHBand="0" w:noVBand="0"/>
      </w:tblPr>
      <w:tblGrid>
        <w:gridCol w:w="3893"/>
        <w:gridCol w:w="1980"/>
        <w:gridCol w:w="1980"/>
        <w:gridCol w:w="1980"/>
      </w:tblGrid>
      <w:tr w:rsidR="002A771A" w:rsidRPr="00A50798" w:rsidTr="008F3C1C">
        <w:trPr>
          <w:jc w:val="center"/>
        </w:trPr>
        <w:tc>
          <w:tcPr>
            <w:tcW w:w="3893" w:type="dxa"/>
            <w:vMerge w:val="restart"/>
            <w:shd w:val="clear" w:color="auto" w:fill="E6E6E6"/>
            <w:vAlign w:val="center"/>
          </w:tcPr>
          <w:p w:rsidR="002A771A" w:rsidRPr="00A50798" w:rsidRDefault="002A771A" w:rsidP="008F3C1C">
            <w:pPr>
              <w:spacing w:line="320" w:lineRule="exact"/>
              <w:jc w:val="center"/>
              <w:rPr>
                <w:rFonts w:eastAsia="標楷體"/>
              </w:rPr>
            </w:pPr>
            <w:r w:rsidRPr="00A50798">
              <w:rPr>
                <w:rFonts w:eastAsia="標楷體" w:hint="eastAsia"/>
              </w:rPr>
              <w:t>項目</w:t>
            </w:r>
          </w:p>
        </w:tc>
        <w:tc>
          <w:tcPr>
            <w:tcW w:w="5940" w:type="dxa"/>
            <w:gridSpan w:val="3"/>
            <w:shd w:val="clear" w:color="auto" w:fill="E6E6E6"/>
          </w:tcPr>
          <w:p w:rsidR="002A771A" w:rsidRPr="004E3125" w:rsidRDefault="002A771A" w:rsidP="008F3C1C">
            <w:pPr>
              <w:spacing w:line="320" w:lineRule="exact"/>
              <w:jc w:val="center"/>
              <w:rPr>
                <w:rFonts w:eastAsia="標楷體"/>
                <w:b/>
                <w:u w:val="single"/>
              </w:rPr>
            </w:pPr>
            <w:r w:rsidRPr="004E3125">
              <w:rPr>
                <w:rFonts w:eastAsia="標楷體" w:hint="eastAsia"/>
                <w:b/>
                <w:u w:val="single"/>
              </w:rPr>
              <w:t>第一類資本淨額</w:t>
            </w:r>
          </w:p>
        </w:tc>
      </w:tr>
      <w:tr w:rsidR="002A771A" w:rsidRPr="00A50798" w:rsidTr="008F3C1C">
        <w:trPr>
          <w:jc w:val="center"/>
        </w:trPr>
        <w:tc>
          <w:tcPr>
            <w:tcW w:w="3893" w:type="dxa"/>
            <w:vMerge/>
            <w:shd w:val="clear" w:color="auto" w:fill="E6E6E6"/>
          </w:tcPr>
          <w:p w:rsidR="002A771A" w:rsidRPr="00A50798" w:rsidRDefault="002A771A" w:rsidP="008F3C1C">
            <w:pPr>
              <w:spacing w:line="320" w:lineRule="exact"/>
              <w:jc w:val="center"/>
              <w:rPr>
                <w:rFonts w:eastAsia="標楷體"/>
              </w:rPr>
            </w:pPr>
          </w:p>
        </w:tc>
        <w:tc>
          <w:tcPr>
            <w:tcW w:w="1980" w:type="dxa"/>
            <w:shd w:val="clear" w:color="auto" w:fill="E6E6E6"/>
            <w:vAlign w:val="center"/>
          </w:tcPr>
          <w:p w:rsidR="002A771A" w:rsidRPr="004E3125" w:rsidRDefault="002A771A" w:rsidP="008F3C1C">
            <w:pPr>
              <w:spacing w:line="32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c>
          <w:tcPr>
            <w:tcW w:w="1980" w:type="dxa"/>
            <w:shd w:val="clear" w:color="auto" w:fill="E6E6E6"/>
            <w:vAlign w:val="center"/>
          </w:tcPr>
          <w:p w:rsidR="002A771A" w:rsidRPr="004E3125" w:rsidRDefault="002A771A" w:rsidP="008F3C1C">
            <w:pPr>
              <w:spacing w:line="32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c>
          <w:tcPr>
            <w:tcW w:w="1980" w:type="dxa"/>
            <w:shd w:val="clear" w:color="auto" w:fill="E6E6E6"/>
            <w:vAlign w:val="center"/>
          </w:tcPr>
          <w:p w:rsidR="002A771A" w:rsidRPr="004E3125" w:rsidRDefault="002A771A" w:rsidP="008F3C1C">
            <w:pPr>
              <w:spacing w:line="32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r>
      <w:tr w:rsidR="002A771A" w:rsidRPr="00A50798" w:rsidTr="008F3C1C">
        <w:trPr>
          <w:jc w:val="center"/>
        </w:trPr>
        <w:tc>
          <w:tcPr>
            <w:tcW w:w="3893" w:type="dxa"/>
          </w:tcPr>
          <w:p w:rsidR="002A771A" w:rsidRPr="00A50798" w:rsidRDefault="002A771A" w:rsidP="008F3C1C">
            <w:pPr>
              <w:spacing w:line="320" w:lineRule="exact"/>
              <w:rPr>
                <w:rFonts w:eastAsia="標楷體"/>
              </w:rPr>
            </w:pPr>
            <w:r w:rsidRPr="00A50798">
              <w:rPr>
                <w:rFonts w:eastAsia="標楷體" w:hint="eastAsia"/>
              </w:rPr>
              <w:t>第一類資本淨額</w:t>
            </w:r>
          </w:p>
        </w:tc>
        <w:tc>
          <w:tcPr>
            <w:tcW w:w="1980" w:type="dxa"/>
            <w:vAlign w:val="center"/>
          </w:tcPr>
          <w:p w:rsidR="002A771A" w:rsidRPr="004E3125" w:rsidRDefault="002A771A" w:rsidP="008F3C1C">
            <w:pPr>
              <w:spacing w:line="320" w:lineRule="exact"/>
              <w:jc w:val="center"/>
              <w:rPr>
                <w:rFonts w:eastAsia="標楷體"/>
                <w:u w:val="single"/>
              </w:rPr>
            </w:pPr>
            <w:r w:rsidRPr="004E3125">
              <w:rPr>
                <w:rFonts w:eastAsia="標楷體" w:hint="eastAsia"/>
                <w:u w:val="single"/>
              </w:rPr>
              <w:t>（</w:t>
            </w:r>
            <w:r w:rsidRPr="004E3125">
              <w:rPr>
                <w:rFonts w:eastAsia="標楷體" w:hint="eastAsia"/>
                <w:u w:val="single"/>
              </w:rPr>
              <w:t>1</w:t>
            </w:r>
            <w:r w:rsidRPr="004E3125">
              <w:rPr>
                <w:rFonts w:eastAsia="標楷體" w:hint="eastAsia"/>
                <w:u w:val="single"/>
              </w:rPr>
              <w:t>）</w:t>
            </w:r>
          </w:p>
        </w:tc>
        <w:tc>
          <w:tcPr>
            <w:tcW w:w="1980" w:type="dxa"/>
            <w:tcBorders>
              <w:bottom w:val="single" w:sz="4" w:space="0" w:color="auto"/>
            </w:tcBorders>
            <w:vAlign w:val="center"/>
          </w:tcPr>
          <w:p w:rsidR="002A771A" w:rsidRPr="004E3125" w:rsidRDefault="002A771A" w:rsidP="008F3C1C">
            <w:pPr>
              <w:spacing w:line="320" w:lineRule="exact"/>
              <w:jc w:val="center"/>
              <w:rPr>
                <w:rFonts w:eastAsia="標楷體"/>
                <w:b/>
                <w:u w:val="single"/>
              </w:rPr>
            </w:pPr>
            <w:r w:rsidRPr="004E3125">
              <w:rPr>
                <w:rFonts w:eastAsia="標楷體" w:hint="eastAsia"/>
                <w:u w:val="single"/>
              </w:rPr>
              <w:t>（</w:t>
            </w:r>
            <w:r w:rsidRPr="004E3125">
              <w:rPr>
                <w:rFonts w:eastAsia="標楷體" w:hint="eastAsia"/>
                <w:u w:val="single"/>
              </w:rPr>
              <w:t>2</w:t>
            </w:r>
            <w:r w:rsidRPr="004E3125">
              <w:rPr>
                <w:rFonts w:eastAsia="標楷體" w:hint="eastAsia"/>
                <w:u w:val="single"/>
              </w:rPr>
              <w:t>）</w:t>
            </w:r>
          </w:p>
        </w:tc>
        <w:tc>
          <w:tcPr>
            <w:tcW w:w="1980" w:type="dxa"/>
            <w:tcBorders>
              <w:bottom w:val="single" w:sz="4" w:space="0" w:color="auto"/>
            </w:tcBorders>
            <w:vAlign w:val="center"/>
          </w:tcPr>
          <w:p w:rsidR="002A771A" w:rsidRPr="004E3125" w:rsidRDefault="002A771A" w:rsidP="008F3C1C">
            <w:pPr>
              <w:spacing w:line="320" w:lineRule="exact"/>
              <w:jc w:val="center"/>
              <w:rPr>
                <w:rFonts w:eastAsia="標楷體"/>
                <w:b/>
                <w:u w:val="single"/>
              </w:rPr>
            </w:pPr>
            <w:r w:rsidRPr="004E3125">
              <w:rPr>
                <w:rFonts w:eastAsia="標楷體" w:hint="eastAsia"/>
                <w:u w:val="single"/>
              </w:rPr>
              <w:t>（</w:t>
            </w:r>
            <w:r w:rsidRPr="004E3125">
              <w:rPr>
                <w:rFonts w:eastAsia="標楷體" w:hint="eastAsia"/>
                <w:u w:val="single"/>
              </w:rPr>
              <w:t>3</w:t>
            </w:r>
            <w:r w:rsidRPr="004E3125">
              <w:rPr>
                <w:rFonts w:eastAsia="標楷體" w:hint="eastAsia"/>
                <w:u w:val="single"/>
              </w:rPr>
              <w:t>）</w:t>
            </w:r>
          </w:p>
        </w:tc>
      </w:tr>
      <w:tr w:rsidR="002A771A" w:rsidRPr="00A50798" w:rsidTr="008F3C1C">
        <w:trPr>
          <w:trHeight w:val="634"/>
          <w:jc w:val="center"/>
        </w:trPr>
        <w:tc>
          <w:tcPr>
            <w:tcW w:w="3893" w:type="dxa"/>
          </w:tcPr>
          <w:p w:rsidR="002A771A" w:rsidRPr="004E3125" w:rsidRDefault="002A771A" w:rsidP="008F3C1C">
            <w:pPr>
              <w:spacing w:line="320" w:lineRule="exact"/>
              <w:rPr>
                <w:rFonts w:eastAsia="標楷體" w:hAnsi="標楷體"/>
                <w:u w:val="single"/>
              </w:rPr>
            </w:pPr>
            <w:r w:rsidRPr="004E3125">
              <w:rPr>
                <w:rFonts w:eastAsia="標楷體" w:hint="eastAsia"/>
                <w:u w:val="single"/>
              </w:rPr>
              <w:t>最近</w:t>
            </w:r>
            <w:r w:rsidRPr="004E3125">
              <w:rPr>
                <w:rFonts w:eastAsia="標楷體" w:hint="eastAsia"/>
                <w:u w:val="single"/>
              </w:rPr>
              <w:t>3</w:t>
            </w:r>
            <w:r w:rsidRPr="004E3125">
              <w:rPr>
                <w:rFonts w:eastAsia="標楷體" w:hint="eastAsia"/>
                <w:u w:val="single"/>
              </w:rPr>
              <w:t>個月平均之第一類資本淨額</w:t>
            </w:r>
            <w:r w:rsidRPr="004E3125">
              <w:rPr>
                <w:rFonts w:eastAsia="標楷體" w:hAnsi="標楷體" w:hint="eastAsia"/>
                <w:u w:val="single"/>
              </w:rPr>
              <w:t>（</w:t>
            </w:r>
            <w:r w:rsidRPr="004E3125">
              <w:rPr>
                <w:rFonts w:eastAsia="標楷體" w:hAnsi="標楷體" w:hint="eastAsia"/>
                <w:u w:val="single"/>
              </w:rPr>
              <w:t>A</w:t>
            </w:r>
            <w:r w:rsidRPr="004E3125">
              <w:rPr>
                <w:rFonts w:eastAsia="標楷體" w:hAnsi="標楷體" w:hint="eastAsia"/>
                <w:u w:val="single"/>
              </w:rPr>
              <w:t>）＝</w:t>
            </w:r>
            <w:r w:rsidRPr="004E3125">
              <w:rPr>
                <w:rFonts w:eastAsia="標楷體" w:hAnsi="標楷體"/>
                <w:u w:val="single"/>
              </w:rPr>
              <w:t>【（</w:t>
            </w:r>
            <w:r w:rsidRPr="004E3125">
              <w:rPr>
                <w:rFonts w:eastAsia="標楷體"/>
                <w:u w:val="single"/>
              </w:rPr>
              <w:t>1</w:t>
            </w:r>
            <w:r w:rsidRPr="004E3125">
              <w:rPr>
                <w:rFonts w:eastAsia="標楷體" w:hAnsi="標楷體"/>
                <w:u w:val="single"/>
              </w:rPr>
              <w:t>）＋（</w:t>
            </w:r>
            <w:r w:rsidRPr="004E3125">
              <w:rPr>
                <w:rFonts w:eastAsia="標楷體"/>
                <w:u w:val="single"/>
              </w:rPr>
              <w:t>2</w:t>
            </w:r>
            <w:r w:rsidRPr="004E3125">
              <w:rPr>
                <w:rFonts w:eastAsia="標楷體" w:hAnsi="標楷體"/>
                <w:u w:val="single"/>
              </w:rPr>
              <w:t>）＋（</w:t>
            </w:r>
            <w:r w:rsidRPr="004E3125">
              <w:rPr>
                <w:rFonts w:eastAsia="標楷體"/>
                <w:u w:val="single"/>
              </w:rPr>
              <w:t>3</w:t>
            </w:r>
            <w:r w:rsidRPr="004E3125">
              <w:rPr>
                <w:rFonts w:eastAsia="標楷體" w:hAnsi="標楷體"/>
                <w:u w:val="single"/>
              </w:rPr>
              <w:t>）】</w:t>
            </w:r>
            <w:r w:rsidRPr="004E3125">
              <w:rPr>
                <w:rFonts w:eastAsia="標楷體"/>
                <w:u w:val="single"/>
              </w:rPr>
              <w:t>/3</w:t>
            </w:r>
          </w:p>
        </w:tc>
        <w:tc>
          <w:tcPr>
            <w:tcW w:w="1980" w:type="dxa"/>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r>
      <w:tr w:rsidR="002A771A" w:rsidRPr="00A50798" w:rsidTr="008F3C1C">
        <w:trPr>
          <w:trHeight w:val="446"/>
          <w:jc w:val="center"/>
        </w:trPr>
        <w:tc>
          <w:tcPr>
            <w:tcW w:w="3893" w:type="dxa"/>
          </w:tcPr>
          <w:p w:rsidR="002A771A" w:rsidRPr="00A50798" w:rsidRDefault="002A771A" w:rsidP="008F3C1C">
            <w:pPr>
              <w:spacing w:line="320" w:lineRule="exact"/>
              <w:rPr>
                <w:rFonts w:eastAsia="標楷體" w:hAnsi="標楷體"/>
              </w:rPr>
            </w:pPr>
            <w:r w:rsidRPr="004E3125">
              <w:rPr>
                <w:rFonts w:eastAsia="標楷體" w:hAnsi="標楷體" w:hint="eastAsia"/>
                <w:u w:val="single"/>
              </w:rPr>
              <w:t>最近</w:t>
            </w:r>
            <w:r w:rsidRPr="004E3125">
              <w:rPr>
                <w:rFonts w:eastAsia="標楷體" w:hAnsi="標楷體" w:hint="eastAsia"/>
                <w:u w:val="single"/>
              </w:rPr>
              <w:t>3</w:t>
            </w:r>
            <w:r w:rsidRPr="004E3125">
              <w:rPr>
                <w:rFonts w:eastAsia="標楷體" w:hAnsi="標楷體" w:hint="eastAsia"/>
                <w:u w:val="single"/>
              </w:rPr>
              <w:t>個月平均</w:t>
            </w:r>
            <w:proofErr w:type="gramStart"/>
            <w:r w:rsidRPr="004E3125">
              <w:rPr>
                <w:rFonts w:eastAsia="標楷體" w:hAnsi="標楷體" w:hint="eastAsia"/>
                <w:u w:val="single"/>
              </w:rPr>
              <w:t>之</w:t>
            </w:r>
            <w:r w:rsidRPr="00A50798">
              <w:rPr>
                <w:rFonts w:eastAsia="標楷體" w:hAnsi="標楷體"/>
              </w:rPr>
              <w:t>暴險</w:t>
            </w:r>
            <w:r w:rsidRPr="00A50798">
              <w:rPr>
                <w:rFonts w:eastAsia="標楷體" w:hAnsi="標楷體" w:hint="eastAsia"/>
              </w:rPr>
              <w:t>總</w:t>
            </w:r>
            <w:r w:rsidRPr="00A50798">
              <w:rPr>
                <w:rFonts w:eastAsia="標楷體" w:hAnsi="標楷體"/>
              </w:rPr>
              <w:t>額</w:t>
            </w:r>
            <w:proofErr w:type="gramEnd"/>
            <w:r w:rsidRPr="00A50798">
              <w:rPr>
                <w:rFonts w:eastAsia="標楷體" w:hAnsi="標楷體" w:hint="eastAsia"/>
              </w:rPr>
              <w:t>（</w:t>
            </w:r>
            <w:r w:rsidRPr="00A50798">
              <w:rPr>
                <w:rFonts w:eastAsia="標楷體" w:hAnsi="標楷體" w:hint="eastAsia"/>
              </w:rPr>
              <w:t>B</w:t>
            </w:r>
            <w:r w:rsidRPr="00A50798">
              <w:rPr>
                <w:rFonts w:eastAsia="標楷體" w:hAnsi="標楷體" w:hint="eastAsia"/>
              </w:rPr>
              <w:t>）</w:t>
            </w:r>
          </w:p>
          <w:p w:rsidR="002A771A" w:rsidRPr="00A50798" w:rsidRDefault="002A771A" w:rsidP="008F3C1C">
            <w:pPr>
              <w:spacing w:line="320" w:lineRule="exact"/>
              <w:rPr>
                <w:rFonts w:eastAsia="標楷體"/>
              </w:rPr>
            </w:pPr>
            <w:proofErr w:type="gramStart"/>
            <w:r w:rsidRPr="00A50798">
              <w:rPr>
                <w:rFonts w:eastAsia="標楷體" w:hint="eastAsia"/>
              </w:rPr>
              <w:t>（</w:t>
            </w:r>
            <w:proofErr w:type="gramEnd"/>
            <w:r w:rsidRPr="00A50798">
              <w:rPr>
                <w:rFonts w:eastAsia="標楷體" w:hint="eastAsia"/>
              </w:rPr>
              <w:t>表</w:t>
            </w:r>
            <w:r w:rsidRPr="00A50798">
              <w:rPr>
                <w:rFonts w:eastAsia="標楷體" w:hint="eastAsia"/>
              </w:rPr>
              <w:t xml:space="preserve">7-A1, </w:t>
            </w:r>
            <w:proofErr w:type="gramStart"/>
            <w:r w:rsidRPr="00A50798">
              <w:rPr>
                <w:rFonts w:eastAsia="標楷體" w:hint="eastAsia"/>
              </w:rPr>
              <w:t>（</w:t>
            </w:r>
            <w:proofErr w:type="gramEnd"/>
            <w:r w:rsidRPr="00A50798">
              <w:rPr>
                <w:rFonts w:eastAsia="標楷體" w:hint="eastAsia"/>
              </w:rPr>
              <w:t>D</w:t>
            </w:r>
            <w:proofErr w:type="gramStart"/>
            <w:r w:rsidRPr="00A50798">
              <w:rPr>
                <w:rFonts w:eastAsia="標楷體" w:hint="eastAsia"/>
              </w:rPr>
              <w:t>））</w:t>
            </w:r>
            <w:proofErr w:type="gramEnd"/>
          </w:p>
        </w:tc>
        <w:tc>
          <w:tcPr>
            <w:tcW w:w="1980" w:type="dxa"/>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r>
      <w:tr w:rsidR="002A771A" w:rsidRPr="00A50798" w:rsidTr="008F3C1C">
        <w:trPr>
          <w:jc w:val="center"/>
        </w:trPr>
        <w:tc>
          <w:tcPr>
            <w:tcW w:w="3893" w:type="dxa"/>
          </w:tcPr>
          <w:p w:rsidR="002A771A" w:rsidRPr="00A50798" w:rsidRDefault="002A771A" w:rsidP="008F3C1C">
            <w:pPr>
              <w:spacing w:line="320" w:lineRule="exact"/>
              <w:rPr>
                <w:rFonts w:eastAsia="標楷體"/>
              </w:rPr>
            </w:pPr>
            <w:r w:rsidRPr="00A50798">
              <w:rPr>
                <w:rFonts w:eastAsia="標楷體" w:hint="eastAsia"/>
              </w:rPr>
              <w:t>槓桿比率（</w:t>
            </w:r>
            <w:r w:rsidRPr="00A50798">
              <w:rPr>
                <w:rFonts w:eastAsia="標楷體" w:hint="eastAsia"/>
              </w:rPr>
              <w:t>C</w:t>
            </w:r>
            <w:r w:rsidRPr="00A50798">
              <w:rPr>
                <w:rFonts w:eastAsia="標楷體" w:hint="eastAsia"/>
              </w:rPr>
              <w:t>）</w:t>
            </w:r>
            <w:r w:rsidRPr="00A50798">
              <w:rPr>
                <w:rFonts w:eastAsia="標楷體" w:hint="eastAsia"/>
              </w:rPr>
              <w:t>=</w:t>
            </w:r>
            <w:r w:rsidRPr="00A50798">
              <w:rPr>
                <w:rFonts w:eastAsia="標楷體" w:hint="eastAsia"/>
              </w:rPr>
              <w:t>（</w:t>
            </w:r>
            <w:r w:rsidRPr="00A50798">
              <w:rPr>
                <w:rFonts w:eastAsia="標楷體" w:hint="eastAsia"/>
              </w:rPr>
              <w:t>A</w:t>
            </w:r>
            <w:r w:rsidRPr="00A50798">
              <w:rPr>
                <w:rFonts w:eastAsia="標楷體" w:hint="eastAsia"/>
              </w:rPr>
              <w:t>）／（</w:t>
            </w:r>
            <w:r w:rsidRPr="00A50798">
              <w:rPr>
                <w:rFonts w:eastAsia="標楷體" w:hint="eastAsia"/>
              </w:rPr>
              <w:t>B</w:t>
            </w:r>
            <w:r w:rsidRPr="00A50798">
              <w:rPr>
                <w:rFonts w:eastAsia="標楷體" w:hint="eastAsia"/>
              </w:rPr>
              <w:t>）</w:t>
            </w:r>
          </w:p>
        </w:tc>
        <w:tc>
          <w:tcPr>
            <w:tcW w:w="1980" w:type="dxa"/>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c>
          <w:tcPr>
            <w:tcW w:w="1980" w:type="dxa"/>
            <w:shd w:val="clear" w:color="auto" w:fill="CCCCCC"/>
            <w:vAlign w:val="center"/>
          </w:tcPr>
          <w:p w:rsidR="002A771A" w:rsidRPr="00A50798" w:rsidRDefault="002A771A" w:rsidP="008F3C1C">
            <w:pPr>
              <w:spacing w:line="320" w:lineRule="exact"/>
              <w:jc w:val="center"/>
              <w:rPr>
                <w:rFonts w:eastAsia="標楷體"/>
              </w:rPr>
            </w:pPr>
          </w:p>
        </w:tc>
      </w:tr>
    </w:tbl>
    <w:p w:rsidR="002A771A" w:rsidRPr="00A50798" w:rsidRDefault="002A771A" w:rsidP="002A771A">
      <w:pPr>
        <w:spacing w:beforeLines="50" w:before="180" w:line="340" w:lineRule="exact"/>
        <w:rPr>
          <w:rFonts w:eastAsia="標楷體"/>
          <w:b/>
          <w:bCs/>
          <w:sz w:val="28"/>
        </w:rPr>
      </w:pPr>
      <w:r w:rsidRPr="00A50798">
        <w:rPr>
          <w:rFonts w:hint="eastAsia"/>
        </w:rPr>
        <w:t xml:space="preserve">     </w:t>
      </w:r>
      <w:r w:rsidRPr="00A50798">
        <w:rPr>
          <w:rFonts w:eastAsia="標楷體" w:hint="eastAsia"/>
          <w:b/>
          <w:bCs/>
          <w:sz w:val="28"/>
        </w:rPr>
        <w:t>【表</w:t>
      </w:r>
      <w:r w:rsidRPr="00A50798">
        <w:rPr>
          <w:rFonts w:eastAsia="標楷體" w:hint="eastAsia"/>
          <w:b/>
          <w:bCs/>
          <w:sz w:val="28"/>
        </w:rPr>
        <w:t>7-A1</w:t>
      </w:r>
      <w:r w:rsidRPr="00A50798">
        <w:rPr>
          <w:rFonts w:eastAsia="標楷體" w:hint="eastAsia"/>
          <w:b/>
          <w:bCs/>
          <w:sz w:val="28"/>
        </w:rPr>
        <w:t>】</w:t>
      </w:r>
    </w:p>
    <w:p w:rsidR="002A771A" w:rsidRPr="00A50798" w:rsidRDefault="002A771A" w:rsidP="002A771A">
      <w:pPr>
        <w:jc w:val="center"/>
        <w:rPr>
          <w:rFonts w:eastAsia="標楷體"/>
        </w:rPr>
      </w:pPr>
      <w:r w:rsidRPr="00A50798">
        <w:rPr>
          <w:rFonts w:eastAsia="標楷體" w:hint="eastAsia"/>
        </w:rPr>
        <w:t>_________________________</w:t>
      </w:r>
      <w:r w:rsidRPr="00A50798">
        <w:rPr>
          <w:rFonts w:eastAsia="標楷體" w:hint="eastAsia"/>
        </w:rPr>
        <w:t>銀行</w:t>
      </w:r>
    </w:p>
    <w:p w:rsidR="002A771A" w:rsidRPr="00A50798" w:rsidRDefault="002A771A" w:rsidP="002A771A">
      <w:pPr>
        <w:pStyle w:val="af3"/>
        <w:spacing w:before="0" w:after="0"/>
        <w:ind w:firstLineChars="1712" w:firstLine="4113"/>
        <w:jc w:val="left"/>
        <w:rPr>
          <w:rFonts w:eastAsia="標楷體"/>
          <w:szCs w:val="24"/>
        </w:rPr>
      </w:pPr>
      <w:proofErr w:type="gramStart"/>
      <w:r w:rsidRPr="00A50798">
        <w:rPr>
          <w:rFonts w:eastAsia="標楷體" w:hint="eastAsia"/>
          <w:szCs w:val="24"/>
        </w:rPr>
        <w:t>暴險總額</w:t>
      </w:r>
      <w:proofErr w:type="gramEnd"/>
      <w:r w:rsidRPr="00A50798">
        <w:rPr>
          <w:rFonts w:eastAsia="標楷體" w:hint="eastAsia"/>
          <w:szCs w:val="24"/>
        </w:rPr>
        <w:t>計算表</w:t>
      </w:r>
    </w:p>
    <w:p w:rsidR="002A771A" w:rsidRPr="00A50798" w:rsidRDefault="002A771A" w:rsidP="002A771A">
      <w:pPr>
        <w:ind w:firstLine="4080"/>
        <w:rPr>
          <w:rFonts w:eastAsia="標楷體"/>
          <w:kern w:val="0"/>
        </w:rPr>
      </w:pPr>
      <w:r w:rsidRPr="00A50798">
        <w:rPr>
          <w:rFonts w:eastAsia="標楷體" w:hint="eastAsia"/>
          <w:kern w:val="0"/>
        </w:rPr>
        <w:t>年</w:t>
      </w:r>
      <w:r w:rsidRPr="00A50798">
        <w:rPr>
          <w:rFonts w:eastAsia="標楷體" w:hint="eastAsia"/>
          <w:kern w:val="0"/>
        </w:rPr>
        <w:t xml:space="preserve">    </w:t>
      </w:r>
      <w:r w:rsidRPr="00A50798">
        <w:rPr>
          <w:rFonts w:eastAsia="標楷體" w:hint="eastAsia"/>
          <w:kern w:val="0"/>
        </w:rPr>
        <w:t>月</w:t>
      </w:r>
      <w:r w:rsidRPr="00A50798">
        <w:rPr>
          <w:rFonts w:eastAsia="標楷體" w:hint="eastAsia"/>
          <w:kern w:val="0"/>
        </w:rPr>
        <w:t xml:space="preserve">    </w:t>
      </w:r>
      <w:r w:rsidRPr="00A50798">
        <w:rPr>
          <w:rFonts w:eastAsia="標楷體" w:hint="eastAsia"/>
          <w:kern w:val="0"/>
        </w:rPr>
        <w:t>日</w:t>
      </w:r>
      <w:r w:rsidRPr="00A50798">
        <w:rPr>
          <w:rFonts w:eastAsia="標楷體" w:hint="eastAsia"/>
          <w:kern w:val="0"/>
        </w:rPr>
        <w:t xml:space="preserve">                </w:t>
      </w:r>
      <w:r w:rsidRPr="00A50798">
        <w:rPr>
          <w:rFonts w:eastAsia="標楷體" w:hint="eastAsia"/>
          <w:kern w:val="0"/>
        </w:rPr>
        <w:t>單位</w:t>
      </w:r>
      <w:r w:rsidRPr="00A50798">
        <w:rPr>
          <w:rFonts w:eastAsia="標楷體" w:hint="eastAsia"/>
          <w:kern w:val="0"/>
        </w:rPr>
        <w:t>:</w:t>
      </w:r>
      <w:r w:rsidRPr="00A50798">
        <w:rPr>
          <w:rFonts w:eastAsia="標楷體" w:hint="eastAsia"/>
          <w:kern w:val="0"/>
        </w:rPr>
        <w:t>新臺幣千元</w:t>
      </w:r>
    </w:p>
    <w:tbl>
      <w:tblPr>
        <w:tblStyle w:val="a3"/>
        <w:tblW w:w="0" w:type="auto"/>
        <w:jc w:val="center"/>
        <w:tblInd w:w="828" w:type="dxa"/>
        <w:tblLook w:val="01E0" w:firstRow="1" w:lastRow="1" w:firstColumn="1" w:lastColumn="1" w:noHBand="0" w:noVBand="0"/>
      </w:tblPr>
      <w:tblGrid>
        <w:gridCol w:w="1046"/>
        <w:gridCol w:w="2388"/>
        <w:gridCol w:w="1708"/>
        <w:gridCol w:w="1859"/>
        <w:gridCol w:w="2025"/>
      </w:tblGrid>
      <w:tr w:rsidR="002A771A" w:rsidRPr="00A50798" w:rsidTr="008F3C1C">
        <w:trPr>
          <w:jc w:val="center"/>
        </w:trPr>
        <w:tc>
          <w:tcPr>
            <w:tcW w:w="3786" w:type="dxa"/>
            <w:gridSpan w:val="2"/>
            <w:vMerge w:val="restart"/>
            <w:shd w:val="clear" w:color="auto" w:fill="E6E6E6"/>
            <w:vAlign w:val="center"/>
          </w:tcPr>
          <w:p w:rsidR="002A771A" w:rsidRPr="00A50798" w:rsidRDefault="002A771A" w:rsidP="008F3C1C">
            <w:pPr>
              <w:spacing w:line="340" w:lineRule="exact"/>
              <w:jc w:val="center"/>
              <w:rPr>
                <w:rFonts w:eastAsia="標楷體"/>
                <w:b/>
              </w:rPr>
            </w:pPr>
            <w:r w:rsidRPr="00A50798">
              <w:rPr>
                <w:rFonts w:eastAsia="標楷體" w:hint="eastAsia"/>
                <w:b/>
              </w:rPr>
              <w:t>資產負債表項目</w:t>
            </w:r>
          </w:p>
        </w:tc>
        <w:tc>
          <w:tcPr>
            <w:tcW w:w="6120" w:type="dxa"/>
            <w:gridSpan w:val="3"/>
            <w:shd w:val="clear" w:color="auto" w:fill="E6E6E6"/>
            <w:vAlign w:val="center"/>
          </w:tcPr>
          <w:p w:rsidR="002A771A" w:rsidRPr="00A50798" w:rsidRDefault="002A771A" w:rsidP="008F3C1C">
            <w:pPr>
              <w:spacing w:line="340" w:lineRule="exact"/>
              <w:jc w:val="center"/>
              <w:rPr>
                <w:rFonts w:eastAsia="標楷體"/>
                <w:b/>
              </w:rPr>
            </w:pPr>
            <w:proofErr w:type="gramStart"/>
            <w:r w:rsidRPr="00A50798">
              <w:rPr>
                <w:rFonts w:eastAsia="標楷體" w:hint="eastAsia"/>
                <w:b/>
              </w:rPr>
              <w:t>暴險金額</w:t>
            </w:r>
            <w:proofErr w:type="gramEnd"/>
            <w:r w:rsidRPr="004E3125">
              <w:rPr>
                <w:rFonts w:eastAsia="標楷體" w:hint="eastAsia"/>
                <w:b/>
                <w:u w:val="single"/>
              </w:rPr>
              <w:t>/</w:t>
            </w:r>
            <w:r w:rsidRPr="004E3125">
              <w:rPr>
                <w:rFonts w:eastAsia="標楷體" w:hint="eastAsia"/>
                <w:b/>
                <w:u w:val="single"/>
              </w:rPr>
              <w:t>信用相當額</w:t>
            </w:r>
          </w:p>
        </w:tc>
      </w:tr>
      <w:tr w:rsidR="002A771A" w:rsidRPr="00A50798" w:rsidTr="008F3C1C">
        <w:trPr>
          <w:jc w:val="center"/>
        </w:trPr>
        <w:tc>
          <w:tcPr>
            <w:tcW w:w="3786" w:type="dxa"/>
            <w:gridSpan w:val="2"/>
            <w:vMerge/>
            <w:shd w:val="clear" w:color="auto" w:fill="E6E6E6"/>
          </w:tcPr>
          <w:p w:rsidR="002A771A" w:rsidRPr="00A50798" w:rsidRDefault="002A771A" w:rsidP="008F3C1C">
            <w:pPr>
              <w:spacing w:line="340" w:lineRule="exact"/>
              <w:jc w:val="center"/>
              <w:rPr>
                <w:rFonts w:eastAsia="標楷體" w:hAnsi="標楷體"/>
                <w:b/>
              </w:rPr>
            </w:pPr>
          </w:p>
        </w:tc>
        <w:tc>
          <w:tcPr>
            <w:tcW w:w="1858" w:type="dxa"/>
            <w:tcBorders>
              <w:bottom w:val="single" w:sz="4" w:space="0" w:color="auto"/>
            </w:tcBorders>
            <w:shd w:val="clear" w:color="auto" w:fill="E6E6E6"/>
            <w:vAlign w:val="center"/>
          </w:tcPr>
          <w:p w:rsidR="002A771A" w:rsidRPr="004E3125" w:rsidRDefault="002A771A" w:rsidP="008F3C1C">
            <w:pPr>
              <w:spacing w:line="34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c>
          <w:tcPr>
            <w:tcW w:w="2034" w:type="dxa"/>
            <w:tcBorders>
              <w:bottom w:val="single" w:sz="4" w:space="0" w:color="auto"/>
            </w:tcBorders>
            <w:shd w:val="clear" w:color="auto" w:fill="E6E6E6"/>
            <w:vAlign w:val="center"/>
          </w:tcPr>
          <w:p w:rsidR="002A771A" w:rsidRPr="004E3125" w:rsidRDefault="002A771A" w:rsidP="008F3C1C">
            <w:pPr>
              <w:spacing w:line="34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c>
          <w:tcPr>
            <w:tcW w:w="2228" w:type="dxa"/>
            <w:tcBorders>
              <w:bottom w:val="single" w:sz="4" w:space="0" w:color="auto"/>
            </w:tcBorders>
            <w:shd w:val="clear" w:color="auto" w:fill="E6E6E6"/>
            <w:vAlign w:val="center"/>
          </w:tcPr>
          <w:p w:rsidR="002A771A" w:rsidRPr="004E3125" w:rsidRDefault="002A771A" w:rsidP="008F3C1C">
            <w:pPr>
              <w:spacing w:line="340" w:lineRule="exact"/>
              <w:jc w:val="center"/>
              <w:rPr>
                <w:rFonts w:eastAsia="標楷體"/>
                <w:b/>
                <w:u w:val="single"/>
              </w:rPr>
            </w:pPr>
            <w:r w:rsidRPr="004E3125">
              <w:rPr>
                <w:rFonts w:eastAsia="標楷體" w:hint="eastAsia"/>
                <w:b/>
                <w:u w:val="single"/>
              </w:rPr>
              <w:t>年</w:t>
            </w:r>
            <w:r w:rsidRPr="004E3125">
              <w:rPr>
                <w:rFonts w:eastAsia="標楷體" w:hint="eastAsia"/>
                <w:b/>
                <w:u w:val="single"/>
              </w:rPr>
              <w:t xml:space="preserve">  </w:t>
            </w:r>
            <w:r w:rsidRPr="004E3125">
              <w:rPr>
                <w:rFonts w:eastAsia="標楷體" w:hint="eastAsia"/>
                <w:b/>
                <w:u w:val="single"/>
              </w:rPr>
              <w:t>月</w:t>
            </w:r>
          </w:p>
        </w:tc>
      </w:tr>
      <w:tr w:rsidR="002A771A" w:rsidRPr="00A50798" w:rsidTr="008F3C1C">
        <w:trPr>
          <w:jc w:val="center"/>
        </w:trPr>
        <w:tc>
          <w:tcPr>
            <w:tcW w:w="1144" w:type="dxa"/>
            <w:vMerge w:val="restart"/>
          </w:tcPr>
          <w:p w:rsidR="002A771A" w:rsidRPr="004E3125" w:rsidRDefault="002A771A" w:rsidP="008F3C1C">
            <w:pPr>
              <w:spacing w:line="340" w:lineRule="exact"/>
              <w:jc w:val="center"/>
              <w:rPr>
                <w:rFonts w:eastAsia="標楷體"/>
                <w:u w:val="single"/>
              </w:rPr>
            </w:pPr>
            <w:r w:rsidRPr="004E3125">
              <w:rPr>
                <w:rFonts w:eastAsia="標楷體" w:hAnsi="標楷體" w:hint="eastAsia"/>
                <w:b/>
                <w:u w:val="single"/>
              </w:rPr>
              <w:t>表內</w:t>
            </w:r>
            <w:r w:rsidRPr="004E3125">
              <w:rPr>
                <w:rFonts w:eastAsia="標楷體" w:hAnsi="標楷體"/>
                <w:b/>
                <w:u w:val="single"/>
              </w:rPr>
              <w:t>項目</w:t>
            </w:r>
            <w:r w:rsidRPr="004E3125">
              <w:rPr>
                <w:rFonts w:eastAsia="標楷體" w:hAnsi="標楷體" w:hint="eastAsia"/>
                <w:b/>
                <w:u w:val="single"/>
              </w:rPr>
              <w:t>及衍生性商品</w:t>
            </w:r>
          </w:p>
        </w:tc>
        <w:tc>
          <w:tcPr>
            <w:tcW w:w="2642" w:type="dxa"/>
          </w:tcPr>
          <w:p w:rsidR="002A771A" w:rsidRPr="004E3125" w:rsidRDefault="002A771A" w:rsidP="008F3C1C">
            <w:pPr>
              <w:spacing w:line="340" w:lineRule="exact"/>
              <w:rPr>
                <w:rFonts w:eastAsia="標楷體"/>
                <w:u w:val="single"/>
              </w:rPr>
            </w:pPr>
            <w:r w:rsidRPr="004E3125">
              <w:rPr>
                <w:rFonts w:eastAsia="標楷體" w:hint="eastAsia"/>
                <w:u w:val="single"/>
              </w:rPr>
              <w:t>有價證券融資交易</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tcPr>
          <w:p w:rsidR="002A771A" w:rsidRPr="004E3125" w:rsidRDefault="002A771A" w:rsidP="008F3C1C">
            <w:pPr>
              <w:spacing w:line="340" w:lineRule="exact"/>
              <w:jc w:val="center"/>
              <w:rPr>
                <w:rFonts w:eastAsia="標楷體" w:hAnsi="標楷體"/>
                <w:u w:val="single"/>
              </w:rPr>
            </w:pPr>
          </w:p>
        </w:tc>
        <w:tc>
          <w:tcPr>
            <w:tcW w:w="2642" w:type="dxa"/>
            <w:tcBorders>
              <w:bottom w:val="single" w:sz="4" w:space="0" w:color="auto"/>
            </w:tcBorders>
          </w:tcPr>
          <w:p w:rsidR="002A771A" w:rsidRPr="004E3125" w:rsidRDefault="002A771A" w:rsidP="008F3C1C">
            <w:pPr>
              <w:spacing w:line="340" w:lineRule="exact"/>
              <w:rPr>
                <w:rFonts w:eastAsia="標楷體"/>
                <w:u w:val="single"/>
              </w:rPr>
            </w:pPr>
            <w:r w:rsidRPr="004E3125">
              <w:rPr>
                <w:rFonts w:eastAsia="標楷體" w:hAnsi="標楷體" w:hint="eastAsia"/>
                <w:u w:val="single"/>
              </w:rPr>
              <w:t>衍生性金融商品</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tcPr>
          <w:p w:rsidR="002A771A" w:rsidRPr="004E3125" w:rsidRDefault="002A771A" w:rsidP="008F3C1C">
            <w:pPr>
              <w:spacing w:line="340" w:lineRule="exact"/>
              <w:jc w:val="center"/>
              <w:rPr>
                <w:rFonts w:eastAsia="標楷體" w:hAnsi="標楷體"/>
                <w:u w:val="single"/>
              </w:rPr>
            </w:pPr>
          </w:p>
        </w:tc>
        <w:tc>
          <w:tcPr>
            <w:tcW w:w="2642" w:type="dxa"/>
            <w:tcBorders>
              <w:bottom w:val="single" w:sz="4" w:space="0" w:color="auto"/>
            </w:tcBorders>
          </w:tcPr>
          <w:p w:rsidR="002A771A" w:rsidRPr="004E3125" w:rsidRDefault="002A771A" w:rsidP="008F3C1C">
            <w:pPr>
              <w:spacing w:line="340" w:lineRule="exact"/>
              <w:rPr>
                <w:rFonts w:eastAsia="標楷體"/>
                <w:u w:val="single"/>
              </w:rPr>
            </w:pPr>
            <w:r w:rsidRPr="004E3125">
              <w:rPr>
                <w:rFonts w:eastAsia="標楷體" w:hAnsi="標楷體" w:hint="eastAsia"/>
                <w:u w:val="single"/>
              </w:rPr>
              <w:t>其他表內資產</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tcBorders>
              <w:bottom w:val="single" w:sz="4" w:space="0" w:color="auto"/>
            </w:tcBorders>
          </w:tcPr>
          <w:p w:rsidR="002A771A" w:rsidRPr="004E3125" w:rsidRDefault="002A771A" w:rsidP="008F3C1C">
            <w:pPr>
              <w:spacing w:line="340" w:lineRule="exact"/>
              <w:jc w:val="center"/>
              <w:rPr>
                <w:rFonts w:eastAsia="標楷體" w:hAnsi="標楷體"/>
                <w:u w:val="single"/>
              </w:rPr>
            </w:pPr>
          </w:p>
        </w:tc>
        <w:tc>
          <w:tcPr>
            <w:tcW w:w="2642" w:type="dxa"/>
            <w:tcBorders>
              <w:bottom w:val="single" w:sz="4" w:space="0" w:color="auto"/>
            </w:tcBorders>
          </w:tcPr>
          <w:p w:rsidR="002A771A" w:rsidRPr="004E3125" w:rsidRDefault="002A771A" w:rsidP="008F3C1C">
            <w:pPr>
              <w:spacing w:line="340" w:lineRule="exact"/>
              <w:rPr>
                <w:rFonts w:eastAsia="標楷體"/>
                <w:u w:val="single"/>
              </w:rPr>
            </w:pPr>
            <w:r w:rsidRPr="004E3125">
              <w:rPr>
                <w:rFonts w:eastAsia="標楷體" w:hAnsi="標楷體" w:hint="eastAsia"/>
                <w:u w:val="single"/>
              </w:rPr>
              <w:t>小計（</w:t>
            </w:r>
            <w:r w:rsidRPr="004E3125">
              <w:rPr>
                <w:rFonts w:eastAsia="標楷體" w:hAnsi="標楷體" w:hint="eastAsia"/>
                <w:u w:val="single"/>
              </w:rPr>
              <w:t>A</w:t>
            </w:r>
            <w:r w:rsidRPr="004E3125">
              <w:rPr>
                <w:rFonts w:eastAsia="標楷體" w:hAnsi="標楷體" w:hint="eastAsia"/>
                <w:u w:val="single"/>
              </w:rPr>
              <w:t>）</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val="restart"/>
          </w:tcPr>
          <w:p w:rsidR="002A771A" w:rsidRPr="00A50798" w:rsidRDefault="002A771A" w:rsidP="008F3C1C">
            <w:pPr>
              <w:spacing w:line="340" w:lineRule="exact"/>
              <w:ind w:leftChars="-18" w:rightChars="-45" w:right="-108" w:hangingChars="18" w:hanging="43"/>
              <w:jc w:val="center"/>
              <w:rPr>
                <w:rFonts w:eastAsia="標楷體" w:hAnsi="標楷體"/>
                <w:b/>
              </w:rPr>
            </w:pPr>
            <w:r w:rsidRPr="00A50798">
              <w:rPr>
                <w:rFonts w:eastAsia="標楷體" w:hAnsi="標楷體" w:hint="eastAsia"/>
                <w:b/>
              </w:rPr>
              <w:t>表外</w:t>
            </w:r>
            <w:r w:rsidRPr="00A50798">
              <w:rPr>
                <w:rFonts w:eastAsia="標楷體" w:hAnsi="標楷體"/>
                <w:b/>
              </w:rPr>
              <w:t>項目</w:t>
            </w:r>
          </w:p>
          <w:p w:rsidR="002A771A" w:rsidRPr="00A50798" w:rsidRDefault="002A771A" w:rsidP="008F3C1C">
            <w:pPr>
              <w:spacing w:line="340" w:lineRule="exact"/>
              <w:ind w:leftChars="-18" w:rightChars="-45" w:right="-108" w:hangingChars="18" w:hanging="43"/>
              <w:jc w:val="center"/>
              <w:rPr>
                <w:rFonts w:eastAsia="標楷體"/>
              </w:rPr>
            </w:pPr>
            <w:proofErr w:type="gramStart"/>
            <w:r w:rsidRPr="00A50798">
              <w:rPr>
                <w:rFonts w:eastAsia="標楷體" w:hAnsi="標楷體"/>
                <w:b/>
              </w:rPr>
              <w:t>—</w:t>
            </w:r>
            <w:proofErr w:type="gramEnd"/>
            <w:r w:rsidRPr="00A50798">
              <w:rPr>
                <w:rFonts w:eastAsia="標楷體" w:hAnsi="標楷體" w:hint="eastAsia"/>
                <w:b/>
              </w:rPr>
              <w:t>信用轉換係數</w:t>
            </w:r>
          </w:p>
        </w:tc>
        <w:tc>
          <w:tcPr>
            <w:tcW w:w="2642" w:type="dxa"/>
            <w:shd w:val="clear" w:color="auto" w:fill="auto"/>
          </w:tcPr>
          <w:p w:rsidR="002A771A" w:rsidRPr="00A50798" w:rsidRDefault="002A771A" w:rsidP="008F3C1C">
            <w:pPr>
              <w:spacing w:line="340" w:lineRule="exact"/>
              <w:rPr>
                <w:rFonts w:eastAsia="標楷體"/>
              </w:rPr>
            </w:pPr>
            <w:r w:rsidRPr="00A50798">
              <w:rPr>
                <w:rFonts w:eastAsia="標楷體" w:hint="eastAsia"/>
              </w:rPr>
              <w:t>10%</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tcPr>
          <w:p w:rsidR="002A771A" w:rsidRPr="00A50798" w:rsidRDefault="002A771A" w:rsidP="008F3C1C">
            <w:pPr>
              <w:spacing w:line="340" w:lineRule="exact"/>
              <w:rPr>
                <w:rFonts w:eastAsia="標楷體"/>
              </w:rPr>
            </w:pPr>
          </w:p>
        </w:tc>
        <w:tc>
          <w:tcPr>
            <w:tcW w:w="2642" w:type="dxa"/>
            <w:shd w:val="clear" w:color="auto" w:fill="auto"/>
          </w:tcPr>
          <w:p w:rsidR="002A771A" w:rsidRPr="00A50798" w:rsidRDefault="002A771A" w:rsidP="008F3C1C">
            <w:pPr>
              <w:spacing w:line="340" w:lineRule="exact"/>
              <w:rPr>
                <w:rFonts w:eastAsia="標楷體"/>
              </w:rPr>
            </w:pPr>
            <w:r w:rsidRPr="00A50798">
              <w:rPr>
                <w:rFonts w:eastAsia="標楷體" w:hint="eastAsia"/>
              </w:rPr>
              <w:t>100%</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jc w:val="center"/>
        </w:trPr>
        <w:tc>
          <w:tcPr>
            <w:tcW w:w="1144" w:type="dxa"/>
            <w:vMerge/>
          </w:tcPr>
          <w:p w:rsidR="002A771A" w:rsidRPr="00A50798" w:rsidRDefault="002A771A" w:rsidP="008F3C1C">
            <w:pPr>
              <w:spacing w:line="340" w:lineRule="exact"/>
              <w:rPr>
                <w:rFonts w:eastAsia="標楷體"/>
              </w:rPr>
            </w:pPr>
          </w:p>
        </w:tc>
        <w:tc>
          <w:tcPr>
            <w:tcW w:w="2642" w:type="dxa"/>
          </w:tcPr>
          <w:p w:rsidR="002A771A" w:rsidRPr="00A50798" w:rsidRDefault="002A771A" w:rsidP="008F3C1C">
            <w:pPr>
              <w:spacing w:line="340" w:lineRule="exact"/>
              <w:rPr>
                <w:rFonts w:eastAsia="標楷體"/>
              </w:rPr>
            </w:pPr>
            <w:r w:rsidRPr="00A50798">
              <w:rPr>
                <w:rFonts w:eastAsia="標楷體" w:hint="eastAsia"/>
              </w:rPr>
              <w:t>小計（</w:t>
            </w:r>
            <w:r w:rsidRPr="00A50798">
              <w:rPr>
                <w:rFonts w:eastAsia="標楷體" w:hint="eastAsia"/>
              </w:rPr>
              <w:t>B</w:t>
            </w:r>
            <w:r w:rsidRPr="00A50798">
              <w:rPr>
                <w:rFonts w:eastAsia="標楷體" w:hint="eastAsia"/>
              </w:rPr>
              <w:t>）</w:t>
            </w:r>
          </w:p>
        </w:tc>
        <w:tc>
          <w:tcPr>
            <w:tcW w:w="1858" w:type="dxa"/>
            <w:shd w:val="clear" w:color="auto" w:fill="auto"/>
          </w:tcPr>
          <w:p w:rsidR="002A771A" w:rsidRPr="00A50798" w:rsidRDefault="002A771A" w:rsidP="008F3C1C">
            <w:pPr>
              <w:spacing w:line="340" w:lineRule="exact"/>
              <w:jc w:val="center"/>
              <w:rPr>
                <w:rFonts w:eastAsia="標楷體"/>
              </w:rPr>
            </w:pPr>
          </w:p>
        </w:tc>
        <w:tc>
          <w:tcPr>
            <w:tcW w:w="2034" w:type="dxa"/>
            <w:shd w:val="clear" w:color="auto" w:fill="auto"/>
          </w:tcPr>
          <w:p w:rsidR="002A771A" w:rsidRPr="00A50798" w:rsidRDefault="002A771A" w:rsidP="008F3C1C">
            <w:pPr>
              <w:spacing w:line="340" w:lineRule="exact"/>
              <w:jc w:val="center"/>
              <w:rPr>
                <w:rFonts w:eastAsia="標楷體"/>
              </w:rPr>
            </w:pPr>
          </w:p>
        </w:tc>
        <w:tc>
          <w:tcPr>
            <w:tcW w:w="2228" w:type="dxa"/>
            <w:shd w:val="clear" w:color="auto" w:fill="auto"/>
          </w:tcPr>
          <w:p w:rsidR="002A771A" w:rsidRPr="00A50798" w:rsidRDefault="002A771A" w:rsidP="008F3C1C">
            <w:pPr>
              <w:spacing w:line="340" w:lineRule="exact"/>
              <w:jc w:val="center"/>
              <w:rPr>
                <w:rFonts w:eastAsia="標楷體"/>
              </w:rPr>
            </w:pPr>
          </w:p>
        </w:tc>
      </w:tr>
      <w:tr w:rsidR="002A771A" w:rsidRPr="00A50798" w:rsidTr="008F3C1C">
        <w:trPr>
          <w:trHeight w:val="135"/>
          <w:jc w:val="center"/>
        </w:trPr>
        <w:tc>
          <w:tcPr>
            <w:tcW w:w="3786" w:type="dxa"/>
            <w:gridSpan w:val="2"/>
          </w:tcPr>
          <w:p w:rsidR="002A771A" w:rsidRPr="00E20839" w:rsidRDefault="002A771A" w:rsidP="008F3C1C">
            <w:pPr>
              <w:spacing w:line="340" w:lineRule="exact"/>
              <w:rPr>
                <w:rFonts w:eastAsia="標楷體"/>
                <w:b/>
                <w:u w:val="single"/>
              </w:rPr>
            </w:pPr>
            <w:r w:rsidRPr="00E20839">
              <w:rPr>
                <w:rFonts w:eastAsia="標楷體"/>
                <w:b/>
                <w:u w:val="single"/>
              </w:rPr>
              <w:t>合計（</w:t>
            </w:r>
            <w:r w:rsidRPr="00E20839">
              <w:rPr>
                <w:rFonts w:eastAsia="標楷體" w:hint="eastAsia"/>
                <w:b/>
                <w:u w:val="single"/>
              </w:rPr>
              <w:t>C</w:t>
            </w:r>
            <w:r w:rsidRPr="00E20839">
              <w:rPr>
                <w:rFonts w:eastAsia="標楷體"/>
                <w:b/>
                <w:u w:val="single"/>
              </w:rPr>
              <w:t>）</w:t>
            </w:r>
            <w:r w:rsidRPr="00E20839">
              <w:rPr>
                <w:rFonts w:eastAsia="標楷體"/>
                <w:b/>
                <w:u w:val="single"/>
              </w:rPr>
              <w:t>=</w:t>
            </w:r>
            <w:r w:rsidRPr="00E20839">
              <w:rPr>
                <w:rFonts w:eastAsia="標楷體"/>
                <w:b/>
                <w:u w:val="single"/>
              </w:rPr>
              <w:t>（</w:t>
            </w:r>
            <w:r w:rsidRPr="00E20839">
              <w:rPr>
                <w:rFonts w:eastAsia="標楷體" w:hint="eastAsia"/>
                <w:b/>
                <w:u w:val="single"/>
              </w:rPr>
              <w:t>A</w:t>
            </w:r>
            <w:r w:rsidRPr="00E20839">
              <w:rPr>
                <w:rFonts w:eastAsia="標楷體"/>
                <w:b/>
                <w:u w:val="single"/>
              </w:rPr>
              <w:t>）＋（</w:t>
            </w:r>
            <w:r w:rsidRPr="00E20839">
              <w:rPr>
                <w:rFonts w:eastAsia="標楷體" w:hint="eastAsia"/>
                <w:b/>
                <w:u w:val="single"/>
              </w:rPr>
              <w:t>B</w:t>
            </w:r>
            <w:r w:rsidRPr="00E20839">
              <w:rPr>
                <w:rFonts w:eastAsia="標楷體"/>
                <w:b/>
                <w:u w:val="single"/>
              </w:rPr>
              <w:t>）</w:t>
            </w:r>
          </w:p>
        </w:tc>
        <w:tc>
          <w:tcPr>
            <w:tcW w:w="1858" w:type="dxa"/>
            <w:shd w:val="clear" w:color="auto" w:fill="auto"/>
          </w:tcPr>
          <w:p w:rsidR="002A771A" w:rsidRPr="00E20839" w:rsidRDefault="002A771A" w:rsidP="008F3C1C">
            <w:pPr>
              <w:spacing w:line="340" w:lineRule="exact"/>
              <w:jc w:val="center"/>
              <w:rPr>
                <w:rFonts w:eastAsia="標楷體"/>
                <w:u w:val="single"/>
              </w:rPr>
            </w:pPr>
            <w:r w:rsidRPr="00E20839">
              <w:rPr>
                <w:rFonts w:eastAsia="標楷體" w:hint="eastAsia"/>
                <w:u w:val="single"/>
              </w:rPr>
              <w:t>（</w:t>
            </w:r>
            <w:r w:rsidRPr="00E20839">
              <w:rPr>
                <w:rFonts w:eastAsia="標楷體" w:hint="eastAsia"/>
                <w:u w:val="single"/>
              </w:rPr>
              <w:t>1</w:t>
            </w:r>
            <w:r w:rsidRPr="00E20839">
              <w:rPr>
                <w:rFonts w:eastAsia="標楷體" w:hint="eastAsia"/>
                <w:u w:val="single"/>
              </w:rPr>
              <w:t>）</w:t>
            </w:r>
          </w:p>
        </w:tc>
        <w:tc>
          <w:tcPr>
            <w:tcW w:w="2034" w:type="dxa"/>
            <w:shd w:val="clear" w:color="auto" w:fill="auto"/>
          </w:tcPr>
          <w:p w:rsidR="002A771A" w:rsidRPr="00E20839" w:rsidRDefault="002A771A" w:rsidP="008F3C1C">
            <w:pPr>
              <w:spacing w:line="340" w:lineRule="exact"/>
              <w:jc w:val="center"/>
              <w:rPr>
                <w:rFonts w:eastAsia="標楷體"/>
                <w:u w:val="single"/>
              </w:rPr>
            </w:pPr>
            <w:r w:rsidRPr="00E20839">
              <w:rPr>
                <w:rFonts w:eastAsia="標楷體" w:hint="eastAsia"/>
                <w:u w:val="single"/>
              </w:rPr>
              <w:t>（</w:t>
            </w:r>
            <w:r w:rsidRPr="00E20839">
              <w:rPr>
                <w:rFonts w:eastAsia="標楷體" w:hint="eastAsia"/>
                <w:u w:val="single"/>
              </w:rPr>
              <w:t>2</w:t>
            </w:r>
            <w:r w:rsidRPr="00E20839">
              <w:rPr>
                <w:rFonts w:eastAsia="標楷體" w:hint="eastAsia"/>
                <w:u w:val="single"/>
              </w:rPr>
              <w:t>）</w:t>
            </w:r>
          </w:p>
        </w:tc>
        <w:tc>
          <w:tcPr>
            <w:tcW w:w="2228" w:type="dxa"/>
            <w:shd w:val="clear" w:color="auto" w:fill="auto"/>
          </w:tcPr>
          <w:p w:rsidR="002A771A" w:rsidRPr="00E20839" w:rsidRDefault="002A771A" w:rsidP="008F3C1C">
            <w:pPr>
              <w:spacing w:line="340" w:lineRule="exact"/>
              <w:jc w:val="center"/>
              <w:rPr>
                <w:rFonts w:eastAsia="標楷體"/>
                <w:u w:val="single"/>
              </w:rPr>
            </w:pPr>
            <w:r w:rsidRPr="00E20839">
              <w:rPr>
                <w:rFonts w:eastAsia="標楷體" w:hint="eastAsia"/>
                <w:u w:val="single"/>
              </w:rPr>
              <w:t>（</w:t>
            </w:r>
            <w:r w:rsidRPr="00E20839">
              <w:rPr>
                <w:rFonts w:eastAsia="標楷體" w:hint="eastAsia"/>
                <w:u w:val="single"/>
              </w:rPr>
              <w:t>3</w:t>
            </w:r>
            <w:r w:rsidRPr="00E20839">
              <w:rPr>
                <w:rFonts w:eastAsia="標楷體" w:hint="eastAsia"/>
                <w:u w:val="single"/>
              </w:rPr>
              <w:t>）</w:t>
            </w:r>
          </w:p>
        </w:tc>
      </w:tr>
      <w:tr w:rsidR="002A771A" w:rsidRPr="00A50798" w:rsidTr="008F3C1C">
        <w:trPr>
          <w:jc w:val="center"/>
        </w:trPr>
        <w:tc>
          <w:tcPr>
            <w:tcW w:w="3786" w:type="dxa"/>
            <w:gridSpan w:val="2"/>
          </w:tcPr>
          <w:p w:rsidR="002A771A" w:rsidRPr="00A50798" w:rsidRDefault="002A771A" w:rsidP="008F3C1C">
            <w:pPr>
              <w:spacing w:line="340" w:lineRule="exact"/>
              <w:rPr>
                <w:rFonts w:eastAsia="標楷體"/>
                <w:b/>
              </w:rPr>
            </w:pPr>
            <w:r w:rsidRPr="0016245E">
              <w:rPr>
                <w:rFonts w:eastAsia="標楷體"/>
                <w:b/>
                <w:u w:val="single"/>
              </w:rPr>
              <w:t>最近</w:t>
            </w:r>
            <w:r w:rsidRPr="0016245E">
              <w:rPr>
                <w:rFonts w:eastAsia="標楷體"/>
                <w:b/>
                <w:u w:val="single"/>
              </w:rPr>
              <w:t>3</w:t>
            </w:r>
            <w:r w:rsidRPr="0016245E">
              <w:rPr>
                <w:rFonts w:eastAsia="標楷體"/>
                <w:b/>
                <w:u w:val="single"/>
              </w:rPr>
              <w:t>個月之</w:t>
            </w:r>
            <w:proofErr w:type="gramStart"/>
            <w:r w:rsidRPr="0016245E">
              <w:rPr>
                <w:rFonts w:eastAsia="標楷體"/>
                <w:b/>
                <w:u w:val="single"/>
              </w:rPr>
              <w:t>平均</w:t>
            </w:r>
            <w:r w:rsidRPr="00A50798">
              <w:rPr>
                <w:rFonts w:eastAsia="標楷體"/>
                <w:b/>
              </w:rPr>
              <w:t>暴險總額</w:t>
            </w:r>
            <w:proofErr w:type="gramEnd"/>
          </w:p>
          <w:p w:rsidR="002A771A" w:rsidRPr="0016245E" w:rsidRDefault="002A771A" w:rsidP="008F3C1C">
            <w:pPr>
              <w:spacing w:line="340" w:lineRule="exact"/>
              <w:rPr>
                <w:rFonts w:eastAsia="標楷體"/>
                <w:b/>
                <w:u w:val="single"/>
              </w:rPr>
            </w:pPr>
            <w:r w:rsidRPr="0016245E">
              <w:rPr>
                <w:rFonts w:eastAsia="標楷體"/>
                <w:b/>
                <w:u w:val="single"/>
              </w:rPr>
              <w:t>（</w:t>
            </w:r>
            <w:r w:rsidRPr="0016245E">
              <w:rPr>
                <w:rFonts w:eastAsia="標楷體" w:hint="eastAsia"/>
                <w:b/>
                <w:u w:val="single"/>
              </w:rPr>
              <w:t>D</w:t>
            </w:r>
            <w:r w:rsidRPr="0016245E">
              <w:rPr>
                <w:rFonts w:eastAsia="標楷體"/>
                <w:b/>
                <w:u w:val="single"/>
              </w:rPr>
              <w:t>）</w:t>
            </w:r>
            <w:r w:rsidRPr="0016245E">
              <w:rPr>
                <w:rFonts w:eastAsia="標楷體"/>
                <w:b/>
                <w:u w:val="single"/>
              </w:rPr>
              <w:t>=</w:t>
            </w:r>
            <w:r w:rsidRPr="0016245E">
              <w:rPr>
                <w:rFonts w:eastAsia="標楷體" w:hAnsi="標楷體"/>
                <w:b/>
                <w:u w:val="single"/>
              </w:rPr>
              <w:t>【（</w:t>
            </w:r>
            <w:r w:rsidRPr="0016245E">
              <w:rPr>
                <w:rFonts w:eastAsia="標楷體" w:hAnsi="標楷體" w:hint="eastAsia"/>
                <w:b/>
                <w:u w:val="single"/>
              </w:rPr>
              <w:t>1</w:t>
            </w:r>
            <w:r w:rsidRPr="0016245E">
              <w:rPr>
                <w:rFonts w:eastAsia="標楷體" w:hAnsi="標楷體"/>
                <w:b/>
                <w:u w:val="single"/>
              </w:rPr>
              <w:t>）＋（</w:t>
            </w:r>
            <w:r w:rsidRPr="0016245E">
              <w:rPr>
                <w:rFonts w:eastAsia="標楷體" w:hAnsi="標楷體" w:hint="eastAsia"/>
                <w:b/>
                <w:u w:val="single"/>
              </w:rPr>
              <w:t>2</w:t>
            </w:r>
            <w:r w:rsidRPr="0016245E">
              <w:rPr>
                <w:rFonts w:eastAsia="標楷體" w:hAnsi="標楷體"/>
                <w:b/>
                <w:u w:val="single"/>
              </w:rPr>
              <w:t>）＋（</w:t>
            </w:r>
            <w:r w:rsidRPr="0016245E">
              <w:rPr>
                <w:rFonts w:eastAsia="標楷體" w:hAnsi="標楷體" w:hint="eastAsia"/>
                <w:b/>
                <w:u w:val="single"/>
              </w:rPr>
              <w:t>3</w:t>
            </w:r>
            <w:r w:rsidRPr="0016245E">
              <w:rPr>
                <w:rFonts w:eastAsia="標楷體" w:hAnsi="標楷體"/>
                <w:b/>
                <w:u w:val="single"/>
              </w:rPr>
              <w:t>）】</w:t>
            </w:r>
            <w:r w:rsidRPr="0016245E">
              <w:rPr>
                <w:rFonts w:eastAsia="標楷體"/>
                <w:b/>
                <w:u w:val="single"/>
              </w:rPr>
              <w:t>/3</w:t>
            </w:r>
          </w:p>
        </w:tc>
        <w:tc>
          <w:tcPr>
            <w:tcW w:w="6120" w:type="dxa"/>
            <w:gridSpan w:val="3"/>
            <w:shd w:val="clear" w:color="auto" w:fill="auto"/>
            <w:vAlign w:val="center"/>
          </w:tcPr>
          <w:p w:rsidR="002A771A" w:rsidRPr="00A50798" w:rsidRDefault="002A771A" w:rsidP="008F3C1C">
            <w:pPr>
              <w:spacing w:line="340" w:lineRule="exact"/>
              <w:jc w:val="center"/>
              <w:rPr>
                <w:rFonts w:eastAsia="標楷體"/>
              </w:rPr>
            </w:pPr>
            <w:r w:rsidRPr="00A50798">
              <w:rPr>
                <w:rFonts w:eastAsia="標楷體"/>
              </w:rPr>
              <w:t>【表</w:t>
            </w:r>
            <w:r w:rsidRPr="00A50798">
              <w:rPr>
                <w:rFonts w:eastAsia="標楷體"/>
              </w:rPr>
              <w:t>7-A, (</w:t>
            </w:r>
            <w:r w:rsidRPr="00A50798">
              <w:rPr>
                <w:rFonts w:eastAsia="標楷體" w:hint="eastAsia"/>
              </w:rPr>
              <w:t>B</w:t>
            </w:r>
            <w:r w:rsidRPr="00A50798">
              <w:rPr>
                <w:rFonts w:eastAsia="標楷體"/>
              </w:rPr>
              <w:t>)</w:t>
            </w:r>
            <w:r w:rsidRPr="00A50798">
              <w:rPr>
                <w:rFonts w:eastAsia="標楷體"/>
              </w:rPr>
              <w:t>】</w:t>
            </w:r>
          </w:p>
        </w:tc>
      </w:tr>
    </w:tbl>
    <w:p w:rsidR="002A771A" w:rsidRPr="0074251B" w:rsidRDefault="002A771A" w:rsidP="002A771A">
      <w:pPr>
        <w:tabs>
          <w:tab w:val="left" w:pos="10260"/>
        </w:tabs>
        <w:spacing w:line="260" w:lineRule="exact"/>
        <w:ind w:rightChars="119" w:right="286" w:firstLineChars="150" w:firstLine="300"/>
        <w:jc w:val="both"/>
        <w:rPr>
          <w:rFonts w:eastAsia="標楷體"/>
          <w:bCs/>
          <w:sz w:val="20"/>
          <w:szCs w:val="20"/>
          <w:u w:val="single"/>
        </w:rPr>
      </w:pPr>
      <w:proofErr w:type="gramStart"/>
      <w:r w:rsidRPr="0074251B">
        <w:rPr>
          <w:rFonts w:eastAsia="標楷體"/>
          <w:bCs/>
          <w:sz w:val="20"/>
          <w:szCs w:val="20"/>
          <w:u w:val="single"/>
        </w:rPr>
        <w:t>註</w:t>
      </w:r>
      <w:proofErr w:type="gramEnd"/>
      <w:r w:rsidRPr="0074251B">
        <w:rPr>
          <w:rFonts w:eastAsia="標楷體"/>
          <w:bCs/>
          <w:sz w:val="20"/>
          <w:szCs w:val="20"/>
          <w:u w:val="single"/>
        </w:rPr>
        <w:t>1</w:t>
      </w:r>
      <w:r w:rsidRPr="0074251B">
        <w:rPr>
          <w:rFonts w:eastAsia="標楷體"/>
          <w:bCs/>
          <w:sz w:val="20"/>
          <w:szCs w:val="20"/>
          <w:u w:val="single"/>
        </w:rPr>
        <w:t>：</w:t>
      </w:r>
      <w:r w:rsidRPr="0074251B">
        <w:rPr>
          <w:rFonts w:eastAsia="標楷體" w:hint="eastAsia"/>
          <w:bCs/>
          <w:sz w:val="20"/>
          <w:szCs w:val="20"/>
          <w:u w:val="single"/>
        </w:rPr>
        <w:t>有價證券融資交易（包括附買回交易、附賣回交易、有價證券出借及借入、有價證券信用交易融資及融券等）。</w:t>
      </w:r>
    </w:p>
    <w:p w:rsidR="002A771A" w:rsidRPr="0074251B" w:rsidRDefault="002A771A" w:rsidP="002A771A">
      <w:pPr>
        <w:tabs>
          <w:tab w:val="left" w:pos="10260"/>
        </w:tabs>
        <w:spacing w:line="260" w:lineRule="exact"/>
        <w:ind w:rightChars="119" w:right="286" w:firstLineChars="150" w:firstLine="300"/>
        <w:jc w:val="both"/>
        <w:rPr>
          <w:rFonts w:eastAsia="標楷體"/>
          <w:bCs/>
          <w:sz w:val="20"/>
          <w:szCs w:val="20"/>
          <w:u w:val="single"/>
        </w:rPr>
      </w:pPr>
      <w:proofErr w:type="gramStart"/>
      <w:r w:rsidRPr="0074251B">
        <w:rPr>
          <w:rFonts w:eastAsia="標楷體" w:hint="eastAsia"/>
          <w:bCs/>
          <w:sz w:val="20"/>
          <w:szCs w:val="20"/>
          <w:u w:val="single"/>
        </w:rPr>
        <w:t>註</w:t>
      </w:r>
      <w:proofErr w:type="gramEnd"/>
      <w:r w:rsidRPr="0074251B">
        <w:rPr>
          <w:rFonts w:eastAsia="標楷體" w:hint="eastAsia"/>
          <w:bCs/>
          <w:sz w:val="20"/>
          <w:szCs w:val="20"/>
          <w:u w:val="single"/>
        </w:rPr>
        <w:t>2</w:t>
      </w:r>
      <w:r w:rsidRPr="0074251B">
        <w:rPr>
          <w:rFonts w:eastAsia="標楷體" w:hint="eastAsia"/>
          <w:bCs/>
          <w:sz w:val="20"/>
          <w:szCs w:val="20"/>
          <w:u w:val="single"/>
        </w:rPr>
        <w:t>：衍生性金融商品應考量風險抵減後之金額填列（與【表</w:t>
      </w:r>
      <w:r w:rsidRPr="0074251B">
        <w:rPr>
          <w:rFonts w:eastAsia="標楷體" w:hint="eastAsia"/>
          <w:bCs/>
          <w:sz w:val="20"/>
          <w:szCs w:val="20"/>
          <w:u w:val="single"/>
        </w:rPr>
        <w:t>2-E2</w:t>
      </w:r>
      <w:r w:rsidRPr="0074251B">
        <w:rPr>
          <w:rFonts w:eastAsia="標楷體" w:hint="eastAsia"/>
          <w:bCs/>
          <w:sz w:val="20"/>
          <w:szCs w:val="20"/>
          <w:u w:val="single"/>
        </w:rPr>
        <w:t>】之範圍相同）。</w:t>
      </w:r>
    </w:p>
    <w:p w:rsidR="002A771A" w:rsidRPr="0074251B" w:rsidRDefault="002A771A" w:rsidP="002A771A">
      <w:pPr>
        <w:tabs>
          <w:tab w:val="left" w:pos="10260"/>
        </w:tabs>
        <w:spacing w:line="260" w:lineRule="exact"/>
        <w:ind w:leftChars="126" w:left="902" w:rightChars="119" w:right="286" w:hangingChars="300" w:hanging="600"/>
        <w:jc w:val="both"/>
        <w:rPr>
          <w:rFonts w:eastAsia="標楷體" w:hAnsi="標楷體"/>
          <w:bCs/>
          <w:sz w:val="20"/>
          <w:szCs w:val="20"/>
          <w:u w:val="single"/>
        </w:rPr>
      </w:pPr>
      <w:proofErr w:type="gramStart"/>
      <w:r w:rsidRPr="0074251B">
        <w:rPr>
          <w:rFonts w:eastAsia="標楷體" w:hint="eastAsia"/>
          <w:bCs/>
          <w:sz w:val="20"/>
          <w:szCs w:val="20"/>
          <w:u w:val="single"/>
        </w:rPr>
        <w:t>註</w:t>
      </w:r>
      <w:proofErr w:type="gramEnd"/>
      <w:r w:rsidRPr="0074251B">
        <w:rPr>
          <w:rFonts w:eastAsia="標楷體" w:hint="eastAsia"/>
          <w:bCs/>
          <w:sz w:val="20"/>
          <w:szCs w:val="20"/>
          <w:u w:val="single"/>
        </w:rPr>
        <w:t>3</w:t>
      </w:r>
      <w:r w:rsidRPr="0074251B">
        <w:rPr>
          <w:rFonts w:eastAsia="標楷體" w:hint="eastAsia"/>
          <w:bCs/>
          <w:sz w:val="20"/>
          <w:szCs w:val="20"/>
          <w:u w:val="single"/>
        </w:rPr>
        <w:t>：其他表內資產＝</w:t>
      </w:r>
      <w:r w:rsidRPr="0074251B">
        <w:rPr>
          <w:rFonts w:eastAsia="標楷體"/>
          <w:bCs/>
          <w:sz w:val="20"/>
          <w:szCs w:val="20"/>
          <w:u w:val="single"/>
        </w:rPr>
        <w:t>(</w:t>
      </w:r>
      <w:r w:rsidRPr="0074251B">
        <w:rPr>
          <w:rFonts w:eastAsia="標楷體" w:hAnsi="標楷體"/>
          <w:bCs/>
          <w:sz w:val="20"/>
          <w:szCs w:val="20"/>
          <w:u w:val="single"/>
        </w:rPr>
        <w:t>資產負債表</w:t>
      </w:r>
      <w:r w:rsidRPr="0074251B">
        <w:rPr>
          <w:rFonts w:eastAsia="標楷體" w:hint="eastAsia"/>
          <w:bCs/>
          <w:sz w:val="20"/>
          <w:szCs w:val="20"/>
          <w:u w:val="single"/>
        </w:rPr>
        <w:t>之</w:t>
      </w:r>
      <w:r w:rsidRPr="0074251B">
        <w:rPr>
          <w:rFonts w:eastAsia="標楷體" w:hAnsi="標楷體"/>
          <w:bCs/>
          <w:sz w:val="20"/>
          <w:szCs w:val="20"/>
          <w:u w:val="single"/>
        </w:rPr>
        <w:t>資產淨額</w:t>
      </w:r>
      <w:r w:rsidRPr="0074251B">
        <w:rPr>
          <w:rFonts w:eastAsia="標楷體"/>
          <w:bCs/>
          <w:sz w:val="20"/>
          <w:szCs w:val="20"/>
          <w:u w:val="single"/>
        </w:rPr>
        <w:t>)</w:t>
      </w:r>
      <w:r w:rsidRPr="0074251B">
        <w:rPr>
          <w:rFonts w:eastAsia="標楷體" w:hAnsi="標楷體"/>
          <w:bCs/>
          <w:sz w:val="20"/>
          <w:szCs w:val="20"/>
          <w:u w:val="single"/>
        </w:rPr>
        <w:t>－</w:t>
      </w:r>
      <w:r w:rsidRPr="0074251B">
        <w:rPr>
          <w:rFonts w:eastAsia="標楷體" w:hAnsi="標楷體" w:hint="eastAsia"/>
          <w:bCs/>
          <w:sz w:val="20"/>
          <w:szCs w:val="20"/>
          <w:u w:val="single"/>
        </w:rPr>
        <w:t>（</w:t>
      </w:r>
      <w:r w:rsidRPr="0074251B">
        <w:rPr>
          <w:rFonts w:eastAsia="標楷體" w:hAnsi="標楷體"/>
          <w:bCs/>
          <w:sz w:val="20"/>
          <w:szCs w:val="20"/>
          <w:u w:val="single"/>
        </w:rPr>
        <w:t>衍生金融商品</w:t>
      </w:r>
      <w:r w:rsidRPr="0074251B">
        <w:rPr>
          <w:rFonts w:eastAsia="標楷體" w:hAnsi="標楷體" w:hint="eastAsia"/>
          <w:bCs/>
          <w:sz w:val="20"/>
          <w:szCs w:val="20"/>
          <w:u w:val="single"/>
        </w:rPr>
        <w:t>於表內</w:t>
      </w:r>
      <w:r w:rsidRPr="0074251B">
        <w:rPr>
          <w:rFonts w:eastAsia="標楷體" w:hAnsi="標楷體"/>
          <w:bCs/>
          <w:sz w:val="20"/>
          <w:szCs w:val="20"/>
          <w:u w:val="single"/>
        </w:rPr>
        <w:t>資產項目餘額</w:t>
      </w:r>
      <w:r w:rsidRPr="0074251B">
        <w:rPr>
          <w:rStyle w:val="a8"/>
          <w:rFonts w:eastAsia="標楷體" w:hAnsi="標楷體"/>
          <w:bCs/>
          <w:sz w:val="20"/>
          <w:szCs w:val="20"/>
          <w:u w:val="single"/>
        </w:rPr>
        <w:footnoteReference w:id="11"/>
      </w:r>
      <w:r w:rsidRPr="0074251B">
        <w:rPr>
          <w:rFonts w:eastAsia="標楷體" w:hAnsi="標楷體" w:hint="eastAsia"/>
          <w:bCs/>
          <w:sz w:val="20"/>
          <w:szCs w:val="20"/>
          <w:u w:val="single"/>
        </w:rPr>
        <w:t>）</w:t>
      </w:r>
      <w:r w:rsidRPr="0074251B">
        <w:rPr>
          <w:rFonts w:eastAsia="標楷體" w:hAnsi="標楷體"/>
          <w:bCs/>
          <w:sz w:val="20"/>
          <w:szCs w:val="20"/>
          <w:u w:val="single"/>
        </w:rPr>
        <w:t>－</w:t>
      </w:r>
      <w:r w:rsidRPr="0074251B">
        <w:rPr>
          <w:rFonts w:eastAsia="標楷體" w:hAnsi="標楷體" w:hint="eastAsia"/>
          <w:bCs/>
          <w:sz w:val="20"/>
          <w:szCs w:val="20"/>
          <w:u w:val="single"/>
        </w:rPr>
        <w:t>（會計項目屬</w:t>
      </w:r>
      <w:r w:rsidRPr="0074251B">
        <w:rPr>
          <w:rFonts w:eastAsia="標楷體" w:hAnsi="標楷體"/>
          <w:bCs/>
          <w:sz w:val="20"/>
          <w:szCs w:val="20"/>
          <w:u w:val="single"/>
        </w:rPr>
        <w:t>表內</w:t>
      </w:r>
      <w:r w:rsidRPr="0074251B">
        <w:rPr>
          <w:rFonts w:eastAsia="標楷體" w:hAnsi="標楷體" w:hint="eastAsia"/>
          <w:bCs/>
          <w:sz w:val="20"/>
          <w:szCs w:val="20"/>
          <w:u w:val="single"/>
        </w:rPr>
        <w:t>資產</w:t>
      </w:r>
      <w:r w:rsidRPr="0074251B">
        <w:rPr>
          <w:rFonts w:eastAsia="標楷體" w:hAnsi="標楷體"/>
          <w:bCs/>
          <w:sz w:val="20"/>
          <w:szCs w:val="20"/>
          <w:u w:val="single"/>
        </w:rPr>
        <w:t>，</w:t>
      </w:r>
      <w:r w:rsidRPr="0074251B">
        <w:rPr>
          <w:rFonts w:eastAsia="標楷體" w:hAnsi="標楷體" w:hint="eastAsia"/>
          <w:bCs/>
          <w:sz w:val="20"/>
          <w:szCs w:val="20"/>
          <w:u w:val="single"/>
        </w:rPr>
        <w:t>惟</w:t>
      </w:r>
      <w:r w:rsidRPr="0074251B">
        <w:rPr>
          <w:rFonts w:eastAsia="標楷體" w:hAnsi="標楷體"/>
          <w:bCs/>
          <w:sz w:val="20"/>
          <w:szCs w:val="20"/>
          <w:u w:val="single"/>
        </w:rPr>
        <w:t>於</w:t>
      </w:r>
      <w:r w:rsidRPr="0074251B">
        <w:rPr>
          <w:rFonts w:eastAsia="標楷體" w:hAnsi="標楷體" w:hint="eastAsia"/>
          <w:bCs/>
          <w:sz w:val="20"/>
          <w:szCs w:val="20"/>
          <w:u w:val="single"/>
        </w:rPr>
        <w:t>計算所需資本</w:t>
      </w:r>
      <w:r w:rsidRPr="0074251B">
        <w:rPr>
          <w:rFonts w:eastAsia="標楷體" w:hAnsi="標楷體"/>
          <w:bCs/>
          <w:sz w:val="20"/>
          <w:szCs w:val="20"/>
          <w:u w:val="single"/>
        </w:rPr>
        <w:t>時</w:t>
      </w:r>
      <w:r w:rsidRPr="0074251B">
        <w:rPr>
          <w:rFonts w:eastAsia="標楷體" w:hAnsi="標楷體" w:hint="eastAsia"/>
          <w:bCs/>
          <w:sz w:val="20"/>
          <w:szCs w:val="20"/>
          <w:u w:val="single"/>
        </w:rPr>
        <w:t>係分類至</w:t>
      </w:r>
      <w:r w:rsidRPr="0074251B">
        <w:rPr>
          <w:rFonts w:eastAsia="標楷體" w:hAnsi="標楷體"/>
          <w:bCs/>
          <w:sz w:val="20"/>
          <w:szCs w:val="20"/>
          <w:u w:val="single"/>
        </w:rPr>
        <w:t>表外</w:t>
      </w:r>
      <w:r w:rsidRPr="0074251B">
        <w:rPr>
          <w:rFonts w:eastAsia="標楷體" w:hAnsi="標楷體" w:hint="eastAsia"/>
          <w:bCs/>
          <w:sz w:val="20"/>
          <w:szCs w:val="20"/>
          <w:u w:val="single"/>
        </w:rPr>
        <w:t>項目填報者</w:t>
      </w:r>
      <w:r w:rsidRPr="0074251B">
        <w:rPr>
          <w:rStyle w:val="a8"/>
          <w:rFonts w:eastAsia="標楷體" w:hAnsi="標楷體"/>
          <w:bCs/>
          <w:sz w:val="20"/>
          <w:szCs w:val="20"/>
          <w:u w:val="single"/>
        </w:rPr>
        <w:footnoteReference w:id="12"/>
      </w:r>
      <w:r w:rsidRPr="0074251B">
        <w:rPr>
          <w:rFonts w:eastAsia="標楷體" w:hAnsi="標楷體" w:hint="eastAsia"/>
          <w:bCs/>
          <w:sz w:val="20"/>
          <w:szCs w:val="20"/>
          <w:u w:val="single"/>
        </w:rPr>
        <w:t>）</w:t>
      </w:r>
      <w:r w:rsidRPr="0074251B">
        <w:rPr>
          <w:rFonts w:eastAsia="標楷體" w:hAnsi="標楷體"/>
          <w:bCs/>
          <w:sz w:val="20"/>
          <w:szCs w:val="20"/>
          <w:u w:val="single"/>
        </w:rPr>
        <w:t>－</w:t>
      </w:r>
      <w:r w:rsidRPr="0074251B">
        <w:rPr>
          <w:rFonts w:eastAsia="標楷體" w:hAnsi="標楷體" w:hint="eastAsia"/>
          <w:bCs/>
          <w:sz w:val="20"/>
          <w:szCs w:val="20"/>
          <w:u w:val="single"/>
        </w:rPr>
        <w:t>（</w:t>
      </w:r>
      <w:r w:rsidRPr="0074251B">
        <w:rPr>
          <w:rFonts w:eastAsia="標楷體" w:hint="eastAsia"/>
          <w:bCs/>
          <w:sz w:val="20"/>
          <w:szCs w:val="20"/>
          <w:u w:val="single"/>
        </w:rPr>
        <w:t>表內資產已自</w:t>
      </w:r>
      <w:r w:rsidRPr="0074251B">
        <w:rPr>
          <w:rFonts w:eastAsia="標楷體" w:hAnsi="標楷體"/>
          <w:bCs/>
          <w:sz w:val="20"/>
          <w:szCs w:val="20"/>
          <w:u w:val="single"/>
        </w:rPr>
        <w:t>第一類資本</w:t>
      </w:r>
      <w:r w:rsidRPr="0074251B">
        <w:rPr>
          <w:rFonts w:eastAsia="標楷體" w:hAnsi="標楷體" w:hint="eastAsia"/>
          <w:bCs/>
          <w:sz w:val="20"/>
          <w:szCs w:val="20"/>
          <w:u w:val="single"/>
        </w:rPr>
        <w:t>之</w:t>
      </w:r>
      <w:r w:rsidRPr="0074251B">
        <w:rPr>
          <w:rFonts w:eastAsia="標楷體" w:hAnsi="標楷體"/>
          <w:bCs/>
          <w:sz w:val="20"/>
          <w:szCs w:val="20"/>
          <w:u w:val="single"/>
        </w:rPr>
        <w:t>扣除</w:t>
      </w:r>
      <w:r w:rsidRPr="0074251B">
        <w:rPr>
          <w:rFonts w:eastAsia="標楷體" w:hAnsi="標楷體" w:hint="eastAsia"/>
          <w:bCs/>
          <w:sz w:val="20"/>
          <w:szCs w:val="20"/>
          <w:u w:val="single"/>
        </w:rPr>
        <w:t>金額）。</w:t>
      </w:r>
    </w:p>
    <w:p w:rsidR="002A771A" w:rsidRPr="0074251B" w:rsidRDefault="002A771A" w:rsidP="002A771A">
      <w:pPr>
        <w:tabs>
          <w:tab w:val="left" w:pos="10260"/>
        </w:tabs>
        <w:spacing w:line="260" w:lineRule="exact"/>
        <w:ind w:leftChars="125" w:left="898" w:rightChars="119" w:right="286" w:hangingChars="299" w:hanging="598"/>
        <w:jc w:val="both"/>
        <w:rPr>
          <w:rFonts w:eastAsia="標楷體"/>
          <w:bCs/>
          <w:sz w:val="20"/>
          <w:szCs w:val="20"/>
          <w:u w:val="single"/>
        </w:rPr>
      </w:pPr>
      <w:proofErr w:type="gramStart"/>
      <w:r w:rsidRPr="0074251B">
        <w:rPr>
          <w:rFonts w:eastAsia="標楷體"/>
          <w:bCs/>
          <w:sz w:val="20"/>
          <w:szCs w:val="20"/>
          <w:u w:val="single"/>
        </w:rPr>
        <w:t>註</w:t>
      </w:r>
      <w:proofErr w:type="gramEnd"/>
      <w:r w:rsidRPr="0074251B">
        <w:rPr>
          <w:rFonts w:eastAsia="標楷體" w:hint="eastAsia"/>
          <w:bCs/>
          <w:sz w:val="20"/>
          <w:szCs w:val="20"/>
          <w:u w:val="single"/>
        </w:rPr>
        <w:t>4</w:t>
      </w:r>
      <w:r w:rsidRPr="0074251B">
        <w:rPr>
          <w:rFonts w:eastAsia="標楷體"/>
          <w:bCs/>
          <w:sz w:val="20"/>
          <w:szCs w:val="20"/>
          <w:u w:val="single"/>
        </w:rPr>
        <w:t>：</w:t>
      </w:r>
      <w:r w:rsidRPr="0074251B">
        <w:rPr>
          <w:rFonts w:eastAsia="標楷體" w:hint="eastAsia"/>
          <w:bCs/>
          <w:sz w:val="20"/>
          <w:szCs w:val="20"/>
          <w:u w:val="single"/>
        </w:rPr>
        <w:t>表外項目中僅「銀行無須事先通知即得隨時無條件取消之承諾」（包括計算基準日，信用卡及現金卡未動用循環信用額度者，其尚未動用之信用額度）始得適用</w:t>
      </w:r>
      <w:r w:rsidRPr="0074251B">
        <w:rPr>
          <w:rFonts w:eastAsia="標楷體" w:hint="eastAsia"/>
          <w:bCs/>
          <w:sz w:val="20"/>
          <w:szCs w:val="20"/>
          <w:u w:val="single"/>
        </w:rPr>
        <w:t>10%</w:t>
      </w:r>
      <w:r w:rsidRPr="0074251B">
        <w:rPr>
          <w:rFonts w:eastAsia="標楷體" w:hint="eastAsia"/>
          <w:bCs/>
          <w:sz w:val="20"/>
          <w:szCs w:val="20"/>
          <w:u w:val="single"/>
        </w:rPr>
        <w:t>之</w:t>
      </w:r>
      <w:r w:rsidRPr="0074251B">
        <w:rPr>
          <w:rFonts w:eastAsia="標楷體" w:hint="eastAsia"/>
          <w:bCs/>
          <w:sz w:val="20"/>
          <w:szCs w:val="20"/>
          <w:u w:val="single"/>
        </w:rPr>
        <w:t>CCF</w:t>
      </w:r>
      <w:r w:rsidRPr="0074251B">
        <w:rPr>
          <w:rFonts w:eastAsia="標楷體" w:hint="eastAsia"/>
          <w:bCs/>
          <w:sz w:val="20"/>
          <w:szCs w:val="20"/>
          <w:u w:val="single"/>
        </w:rPr>
        <w:t>。</w:t>
      </w:r>
    </w:p>
    <w:p w:rsidR="002A771A" w:rsidRPr="00A50798" w:rsidRDefault="002A771A" w:rsidP="002A771A">
      <w:pPr>
        <w:tabs>
          <w:tab w:val="left" w:pos="10260"/>
        </w:tabs>
        <w:spacing w:line="260" w:lineRule="exact"/>
        <w:ind w:leftChars="125" w:left="898" w:rightChars="119" w:right="286" w:hangingChars="299" w:hanging="598"/>
        <w:jc w:val="both"/>
        <w:rPr>
          <w:rFonts w:eastAsia="標楷體"/>
          <w:bCs/>
          <w:sz w:val="20"/>
          <w:szCs w:val="20"/>
        </w:rPr>
      </w:pPr>
    </w:p>
    <w:p w:rsidR="002A771A" w:rsidRPr="004E3125" w:rsidRDefault="002A771A" w:rsidP="002A771A">
      <w:pPr>
        <w:tabs>
          <w:tab w:val="left" w:pos="10260"/>
        </w:tabs>
        <w:spacing w:line="260" w:lineRule="exact"/>
        <w:ind w:leftChars="118" w:left="1173" w:rightChars="120" w:right="288" w:hangingChars="371" w:hanging="890"/>
        <w:jc w:val="both"/>
        <w:rPr>
          <w:rFonts w:ascii="標楷體" w:eastAsia="標楷體" w:hAnsi="標楷體"/>
          <w:bCs/>
        </w:rPr>
      </w:pPr>
    </w:p>
    <w:p w:rsidR="007A0B16" w:rsidRPr="002A771A" w:rsidRDefault="007A0B16" w:rsidP="005E01AE">
      <w:pPr>
        <w:spacing w:line="360" w:lineRule="auto"/>
        <w:jc w:val="both"/>
        <w:rPr>
          <w:rFonts w:eastAsia="標楷體"/>
        </w:rPr>
      </w:pPr>
    </w:p>
    <w:sectPr w:rsidR="007A0B16" w:rsidRPr="002A771A" w:rsidSect="00027B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15" w:rsidRDefault="00822F15">
      <w:r>
        <w:separator/>
      </w:r>
    </w:p>
  </w:endnote>
  <w:endnote w:type="continuationSeparator" w:id="0">
    <w:p w:rsidR="00822F15" w:rsidRDefault="0082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Default="00F40CDE" w:rsidP="005461A6">
    <w:pPr>
      <w:pStyle w:val="a4"/>
      <w:framePr w:wrap="around" w:vAnchor="text" w:hAnchor="margin" w:xAlign="center" w:y="1"/>
      <w:rPr>
        <w:rStyle w:val="a5"/>
      </w:rPr>
    </w:pPr>
    <w:r>
      <w:rPr>
        <w:rStyle w:val="a5"/>
      </w:rPr>
      <w:fldChar w:fldCharType="begin"/>
    </w:r>
    <w:r w:rsidR="00274DDF">
      <w:rPr>
        <w:rStyle w:val="a5"/>
      </w:rPr>
      <w:instrText xml:space="preserve">PAGE  </w:instrText>
    </w:r>
    <w:r>
      <w:rPr>
        <w:rStyle w:val="a5"/>
      </w:rPr>
      <w:fldChar w:fldCharType="end"/>
    </w:r>
  </w:p>
  <w:p w:rsidR="00274DDF" w:rsidRDefault="00274D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Default="00F40CDE" w:rsidP="003C713F">
    <w:pPr>
      <w:pStyle w:val="a4"/>
      <w:framePr w:wrap="around" w:vAnchor="text" w:hAnchor="page" w:x="5784" w:y="-28"/>
      <w:rPr>
        <w:rStyle w:val="a5"/>
      </w:rPr>
    </w:pPr>
    <w:r>
      <w:rPr>
        <w:rStyle w:val="a5"/>
      </w:rPr>
      <w:fldChar w:fldCharType="begin"/>
    </w:r>
    <w:r w:rsidR="00274DDF">
      <w:rPr>
        <w:rStyle w:val="a5"/>
      </w:rPr>
      <w:instrText xml:space="preserve">PAGE  </w:instrText>
    </w:r>
    <w:r>
      <w:rPr>
        <w:rStyle w:val="a5"/>
      </w:rPr>
      <w:fldChar w:fldCharType="separate"/>
    </w:r>
    <w:r w:rsidR="00AD15ED">
      <w:rPr>
        <w:rStyle w:val="a5"/>
        <w:noProof/>
      </w:rPr>
      <w:t>1</w:t>
    </w:r>
    <w:r>
      <w:rPr>
        <w:rStyle w:val="a5"/>
      </w:rPr>
      <w:fldChar w:fldCharType="end"/>
    </w:r>
  </w:p>
  <w:p w:rsidR="00274DDF" w:rsidRDefault="00274D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A" w:rsidRDefault="002A77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771A" w:rsidRDefault="002A771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A" w:rsidRDefault="002A77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3C9B">
      <w:rPr>
        <w:rStyle w:val="a5"/>
        <w:noProof/>
      </w:rPr>
      <w:t>5</w:t>
    </w:r>
    <w:r>
      <w:rPr>
        <w:rStyle w:val="a5"/>
      </w:rPr>
      <w:fldChar w:fldCharType="end"/>
    </w:r>
  </w:p>
  <w:p w:rsidR="002A771A" w:rsidRDefault="002A77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15" w:rsidRDefault="00822F15">
      <w:r>
        <w:separator/>
      </w:r>
    </w:p>
  </w:footnote>
  <w:footnote w:type="continuationSeparator" w:id="0">
    <w:p w:rsidR="00822F15" w:rsidRDefault="00822F15">
      <w:r>
        <w:continuationSeparator/>
      </w:r>
    </w:p>
  </w:footnote>
  <w:footnote w:id="1">
    <w:p w:rsidR="00274DDF" w:rsidRPr="008E7939" w:rsidRDefault="00274DDF" w:rsidP="00BD3DE0">
      <w:pPr>
        <w:ind w:left="80" w:hangingChars="40" w:hanging="80"/>
        <w:jc w:val="both"/>
        <w:rPr>
          <w:rFonts w:ascii="標楷體" w:eastAsia="標楷體" w:hAnsi="標楷體"/>
          <w:sz w:val="20"/>
          <w:szCs w:val="20"/>
          <w:u w:val="single"/>
        </w:rPr>
      </w:pPr>
      <w:r w:rsidRPr="008E7939">
        <w:rPr>
          <w:rStyle w:val="a8"/>
          <w:rFonts w:ascii="標楷體" w:eastAsia="標楷體" w:hAnsi="標楷體"/>
          <w:sz w:val="20"/>
          <w:szCs w:val="20"/>
        </w:rPr>
        <w:footnoteRef/>
      </w:r>
      <w:r w:rsidRPr="008E7939">
        <w:rPr>
          <w:rFonts w:ascii="標楷體" w:eastAsia="標楷體" w:hAnsi="標楷體" w:hint="eastAsia"/>
          <w:sz w:val="20"/>
          <w:szCs w:val="20"/>
          <w:u w:val="single"/>
        </w:rPr>
        <w:t>計算方式請參照計算方法說明附錄三「當</w:t>
      </w:r>
      <w:proofErr w:type="gramStart"/>
      <w:r w:rsidRPr="008E7939">
        <w:rPr>
          <w:rFonts w:ascii="標楷體" w:eastAsia="標楷體" w:hAnsi="標楷體" w:hint="eastAsia"/>
          <w:sz w:val="20"/>
          <w:szCs w:val="20"/>
          <w:u w:val="single"/>
        </w:rPr>
        <w:t>期暴險額法</w:t>
      </w:r>
      <w:proofErr w:type="gramEnd"/>
      <w:r w:rsidRPr="008E7939">
        <w:rPr>
          <w:rFonts w:ascii="標楷體" w:eastAsia="標楷體" w:hAnsi="標楷體" w:hint="eastAsia"/>
          <w:sz w:val="20"/>
          <w:szCs w:val="20"/>
          <w:u w:val="single"/>
        </w:rPr>
        <w:t>」。合約涉及多次本金交換者，須以合約剩餘付款次數乘以未來潛在</w:t>
      </w:r>
      <w:proofErr w:type="gramStart"/>
      <w:r w:rsidRPr="008E7939">
        <w:rPr>
          <w:rFonts w:ascii="標楷體" w:eastAsia="標楷體" w:hAnsi="標楷體" w:hint="eastAsia"/>
          <w:sz w:val="20"/>
          <w:szCs w:val="20"/>
          <w:u w:val="single"/>
        </w:rPr>
        <w:t>暴險額</w:t>
      </w:r>
      <w:proofErr w:type="gramEnd"/>
      <w:r w:rsidRPr="008E7939">
        <w:rPr>
          <w:rFonts w:ascii="標楷體" w:eastAsia="標楷體" w:hAnsi="標楷體" w:hint="eastAsia"/>
          <w:sz w:val="20"/>
          <w:szCs w:val="20"/>
          <w:u w:val="single"/>
        </w:rPr>
        <w:t>計算權數</w:t>
      </w:r>
      <w:r w:rsidRPr="008E7939">
        <w:rPr>
          <w:rFonts w:ascii="標楷體" w:eastAsia="標楷體" w:hAnsi="標楷體" w:hint="eastAsia"/>
          <w:bCs/>
          <w:sz w:val="20"/>
          <w:szCs w:val="20"/>
          <w:u w:val="single"/>
        </w:rPr>
        <w:t>。另當</w:t>
      </w:r>
      <w:proofErr w:type="gramStart"/>
      <w:r w:rsidRPr="008E7939">
        <w:rPr>
          <w:rFonts w:ascii="標楷體" w:eastAsia="標楷體" w:hAnsi="標楷體" w:hint="eastAsia"/>
          <w:bCs/>
          <w:sz w:val="20"/>
          <w:szCs w:val="20"/>
          <w:u w:val="single"/>
        </w:rPr>
        <w:t>銀行為衍生性</w:t>
      </w:r>
      <w:proofErr w:type="gramEnd"/>
      <w:r w:rsidRPr="008E7939">
        <w:rPr>
          <w:rFonts w:ascii="標楷體" w:eastAsia="標楷體" w:hAnsi="標楷體" w:hint="eastAsia"/>
          <w:bCs/>
          <w:sz w:val="20"/>
          <w:szCs w:val="20"/>
          <w:u w:val="single"/>
        </w:rPr>
        <w:t>金融商品合約提供擔保品，若因擔保品之提存而降低其資產餘額，應於計算</w:t>
      </w:r>
      <w:proofErr w:type="gramStart"/>
      <w:r w:rsidRPr="008E7939">
        <w:rPr>
          <w:rFonts w:ascii="標楷體" w:eastAsia="標楷體" w:hAnsi="標楷體" w:hint="eastAsia"/>
          <w:bCs/>
          <w:sz w:val="20"/>
          <w:szCs w:val="20"/>
          <w:u w:val="single"/>
        </w:rPr>
        <w:t>暴險額</w:t>
      </w:r>
      <w:proofErr w:type="gramEnd"/>
      <w:r w:rsidRPr="008E7939">
        <w:rPr>
          <w:rFonts w:ascii="標楷體" w:eastAsia="標楷體" w:hAnsi="標楷體" w:hint="eastAsia"/>
          <w:bCs/>
          <w:sz w:val="20"/>
          <w:szCs w:val="20"/>
          <w:u w:val="single"/>
        </w:rPr>
        <w:t>時，將該擔保</w:t>
      </w:r>
      <w:proofErr w:type="gramStart"/>
      <w:r w:rsidRPr="008E7939">
        <w:rPr>
          <w:rFonts w:ascii="標楷體" w:eastAsia="標楷體" w:hAnsi="標楷體" w:hint="eastAsia"/>
          <w:bCs/>
          <w:sz w:val="20"/>
          <w:szCs w:val="20"/>
          <w:u w:val="single"/>
        </w:rPr>
        <w:t>品加回</w:t>
      </w:r>
      <w:proofErr w:type="gramEnd"/>
      <w:r w:rsidRPr="008E7939">
        <w:rPr>
          <w:rFonts w:ascii="標楷體" w:eastAsia="標楷體" w:hAnsi="標楷體" w:hint="eastAsia"/>
          <w:bCs/>
          <w:sz w:val="20"/>
          <w:szCs w:val="20"/>
          <w:u w:val="single"/>
        </w:rPr>
        <w:t>，且銀行亦不得以交易對手提供之擔保</w:t>
      </w:r>
      <w:proofErr w:type="gramStart"/>
      <w:r w:rsidRPr="008E7939">
        <w:rPr>
          <w:rFonts w:ascii="標楷體" w:eastAsia="標楷體" w:hAnsi="標楷體" w:hint="eastAsia"/>
          <w:bCs/>
          <w:sz w:val="20"/>
          <w:szCs w:val="20"/>
          <w:u w:val="single"/>
        </w:rPr>
        <w:t>品扣減暴險額</w:t>
      </w:r>
      <w:proofErr w:type="gramEnd"/>
      <w:r w:rsidRPr="008E7939">
        <w:rPr>
          <w:rFonts w:ascii="標楷體" w:eastAsia="標楷體" w:hAnsi="標楷體" w:hint="eastAsia"/>
          <w:bCs/>
          <w:sz w:val="20"/>
          <w:szCs w:val="20"/>
          <w:u w:val="single"/>
        </w:rPr>
        <w:t>。</w:t>
      </w:r>
    </w:p>
  </w:footnote>
  <w:footnote w:id="2">
    <w:p w:rsidR="009C32C3" w:rsidRPr="008E7939" w:rsidRDefault="009C32C3" w:rsidP="009C32C3">
      <w:pPr>
        <w:pStyle w:val="a7"/>
        <w:tabs>
          <w:tab w:val="left" w:pos="84"/>
          <w:tab w:val="left" w:pos="196"/>
        </w:tabs>
        <w:spacing w:line="380" w:lineRule="exact"/>
        <w:ind w:left="80" w:hangingChars="40" w:hanging="80"/>
      </w:pPr>
      <w:r w:rsidRPr="008E7939">
        <w:rPr>
          <w:rStyle w:val="a8"/>
        </w:rPr>
        <w:footnoteRef/>
      </w:r>
      <w:proofErr w:type="gramStart"/>
      <w:r w:rsidRPr="008E7939">
        <w:rPr>
          <w:rFonts w:ascii="標楷體" w:eastAsia="標楷體" w:hAnsi="標楷體" w:hint="eastAsia"/>
          <w:u w:val="single"/>
        </w:rPr>
        <w:t>所稱跨商品</w:t>
      </w:r>
      <w:proofErr w:type="gramEnd"/>
      <w:r w:rsidRPr="008E7939">
        <w:rPr>
          <w:rFonts w:ascii="標楷體" w:eastAsia="標楷體" w:hAnsi="標楷體" w:hint="eastAsia"/>
          <w:u w:val="single"/>
        </w:rPr>
        <w:t>淨額結算，</w:t>
      </w:r>
      <w:proofErr w:type="gramStart"/>
      <w:r w:rsidRPr="008E7939">
        <w:rPr>
          <w:rFonts w:ascii="標楷體" w:eastAsia="標楷體" w:hAnsi="標楷體" w:hint="eastAsia"/>
          <w:u w:val="single"/>
        </w:rPr>
        <w:t>係以衍生性</w:t>
      </w:r>
      <w:proofErr w:type="gramEnd"/>
      <w:r w:rsidRPr="008E7939">
        <w:rPr>
          <w:rFonts w:ascii="標楷體" w:eastAsia="標楷體" w:hAnsi="標楷體" w:hint="eastAsia"/>
          <w:u w:val="single"/>
        </w:rPr>
        <w:t>金融商品交易、有價證券融資交易等為區分。銀行得將跨商品淨額結算合約拆分為衍生性金融商品交易及有價證券融資交易等後，分別適用雙邊淨額結算合約之信用風險抵減規定。</w:t>
      </w:r>
    </w:p>
  </w:footnote>
  <w:footnote w:id="3">
    <w:p w:rsidR="009C32C3" w:rsidRPr="008E7939" w:rsidRDefault="00274DDF" w:rsidP="00D973AB">
      <w:pPr>
        <w:ind w:left="80" w:hangingChars="40" w:hanging="80"/>
        <w:jc w:val="both"/>
        <w:rPr>
          <w:u w:val="single"/>
        </w:rPr>
      </w:pPr>
      <w:r w:rsidRPr="008E7939">
        <w:rPr>
          <w:rStyle w:val="a8"/>
          <w:rFonts w:ascii="標楷體" w:eastAsia="標楷體" w:hAnsi="標楷體"/>
          <w:sz w:val="20"/>
          <w:szCs w:val="20"/>
        </w:rPr>
        <w:footnoteRef/>
      </w:r>
      <w:r w:rsidRPr="008E7939">
        <w:rPr>
          <w:rFonts w:ascii="標楷體" w:eastAsia="標楷體" w:hAnsi="標楷體" w:hint="eastAsia"/>
          <w:sz w:val="20"/>
          <w:szCs w:val="20"/>
          <w:u w:val="single"/>
        </w:rPr>
        <w:t>淨額結算合約之主約於計算衍生性金融交易</w:t>
      </w:r>
      <w:proofErr w:type="gramStart"/>
      <w:r w:rsidRPr="008E7939">
        <w:rPr>
          <w:rFonts w:ascii="標楷體" w:eastAsia="標楷體" w:hAnsi="標楷體" w:hint="eastAsia"/>
          <w:sz w:val="20"/>
          <w:szCs w:val="20"/>
          <w:u w:val="single"/>
        </w:rPr>
        <w:t>暴險時</w:t>
      </w:r>
      <w:proofErr w:type="gramEnd"/>
      <w:r w:rsidRPr="008E7939">
        <w:rPr>
          <w:rFonts w:ascii="標楷體" w:eastAsia="標楷體" w:hAnsi="標楷體" w:hint="eastAsia"/>
          <w:sz w:val="20"/>
          <w:szCs w:val="20"/>
          <w:u w:val="single"/>
        </w:rPr>
        <w:t>可以視為單一淨額結算合約。又淨額結算合約係指具備法律強制力之抵銷規定，</w:t>
      </w:r>
      <w:r w:rsidRPr="008E7939">
        <w:rPr>
          <w:rFonts w:ascii="標楷體" w:eastAsia="標楷體" w:hAnsi="標楷體"/>
          <w:sz w:val="20"/>
          <w:szCs w:val="20"/>
          <w:u w:val="single"/>
        </w:rPr>
        <w:t>該合約需明文規定交易對手同意於合約範圍內淨額結算支付義務，同時考量任一方因信用風險事件發生時已收或已付之價格變動保證金。於相關管轄地區發生信用違約、破產或無力償還之事件時，</w:t>
      </w:r>
      <w:r w:rsidRPr="008E7939">
        <w:rPr>
          <w:rFonts w:ascii="標楷體" w:eastAsia="標楷體" w:hAnsi="標楷體" w:hint="eastAsia"/>
          <w:sz w:val="20"/>
          <w:szCs w:val="20"/>
          <w:u w:val="single"/>
        </w:rPr>
        <w:t>該合約</w:t>
      </w:r>
      <w:r w:rsidRPr="008E7939">
        <w:rPr>
          <w:rFonts w:ascii="標楷體" w:eastAsia="標楷體" w:hAnsi="標楷體"/>
          <w:sz w:val="20"/>
          <w:szCs w:val="20"/>
          <w:u w:val="single"/>
        </w:rPr>
        <w:t>應具法律強制</w:t>
      </w:r>
      <w:r w:rsidRPr="008E7939">
        <w:rPr>
          <w:rFonts w:ascii="標楷體" w:eastAsia="標楷體" w:hAnsi="標楷體" w:hint="eastAsia"/>
          <w:sz w:val="20"/>
          <w:szCs w:val="20"/>
          <w:u w:val="single"/>
        </w:rPr>
        <w:t>力</w:t>
      </w:r>
      <w:r w:rsidRPr="008E7939">
        <w:rPr>
          <w:rFonts w:ascii="標楷體" w:eastAsia="標楷體" w:hAnsi="標楷體"/>
          <w:sz w:val="20"/>
          <w:szCs w:val="20"/>
          <w:u w:val="single"/>
        </w:rPr>
        <w:t>與有效性。</w:t>
      </w:r>
    </w:p>
  </w:footnote>
  <w:footnote w:id="4">
    <w:p w:rsidR="00274DDF" w:rsidRPr="008E7939" w:rsidRDefault="00274DDF" w:rsidP="008566ED">
      <w:pPr>
        <w:ind w:left="80" w:hangingChars="40" w:hanging="80"/>
        <w:jc w:val="both"/>
        <w:rPr>
          <w:rFonts w:ascii="標楷體" w:eastAsia="標楷體" w:hAnsi="標楷體"/>
          <w:sz w:val="20"/>
          <w:szCs w:val="20"/>
          <w:u w:val="single"/>
        </w:rPr>
      </w:pPr>
      <w:r w:rsidRPr="008E7939">
        <w:rPr>
          <w:rStyle w:val="a8"/>
          <w:rFonts w:ascii="標楷體" w:eastAsia="標楷體" w:hAnsi="標楷體"/>
          <w:sz w:val="20"/>
          <w:szCs w:val="20"/>
        </w:rPr>
        <w:footnoteRef/>
      </w:r>
      <w:r w:rsidRPr="008E7939">
        <w:rPr>
          <w:rFonts w:ascii="標楷體" w:eastAsia="標楷體" w:hAnsi="標楷體" w:hint="eastAsia"/>
          <w:sz w:val="20"/>
          <w:szCs w:val="20"/>
          <w:u w:val="single"/>
        </w:rPr>
        <w:t>若雙方已簽署有效雙邊淨額結算合約，且信用保障提供之有效名目本金已納入槓桿</w:t>
      </w:r>
      <w:proofErr w:type="gramStart"/>
      <w:r w:rsidRPr="008E7939">
        <w:rPr>
          <w:rFonts w:ascii="標楷體" w:eastAsia="標楷體" w:hAnsi="標楷體" w:hint="eastAsia"/>
          <w:sz w:val="20"/>
          <w:szCs w:val="20"/>
          <w:u w:val="single"/>
        </w:rPr>
        <w:t>比率暴險總額</w:t>
      </w:r>
      <w:proofErr w:type="gramEnd"/>
      <w:r w:rsidRPr="008E7939">
        <w:rPr>
          <w:rFonts w:ascii="標楷體" w:eastAsia="標楷體" w:hAnsi="標楷體" w:hint="eastAsia"/>
          <w:sz w:val="20"/>
          <w:szCs w:val="20"/>
          <w:u w:val="single"/>
        </w:rPr>
        <w:t>，在計算</w:t>
      </w:r>
      <w:proofErr w:type="spellStart"/>
      <w:r w:rsidRPr="008E7939">
        <w:rPr>
          <w:rFonts w:ascii="標楷體" w:eastAsia="標楷體" w:hAnsi="標楷體"/>
          <w:sz w:val="20"/>
          <w:szCs w:val="20"/>
          <w:u w:val="single"/>
        </w:rPr>
        <w:t>A</w:t>
      </w:r>
      <w:r w:rsidRPr="008E7939">
        <w:rPr>
          <w:rFonts w:ascii="標楷體" w:eastAsia="標楷體" w:hAnsi="標楷體"/>
          <w:sz w:val="20"/>
          <w:szCs w:val="20"/>
          <w:u w:val="single"/>
          <w:vertAlign w:val="subscript"/>
        </w:rPr>
        <w:t>Net</w:t>
      </w:r>
      <w:proofErr w:type="spellEnd"/>
      <w:r w:rsidRPr="008E7939">
        <w:rPr>
          <w:rFonts w:ascii="標楷體" w:eastAsia="標楷體" w:hAnsi="標楷體"/>
          <w:sz w:val="20"/>
          <w:szCs w:val="20"/>
          <w:u w:val="single"/>
        </w:rPr>
        <w:t xml:space="preserve"> = 0.4</w:t>
      </w:r>
      <w:proofErr w:type="gramStart"/>
      <w:r w:rsidRPr="008E7939">
        <w:rPr>
          <w:rFonts w:ascii="標楷體" w:eastAsia="標楷體" w:hAnsi="標楷體"/>
          <w:sz w:val="20"/>
          <w:szCs w:val="20"/>
          <w:u w:val="single"/>
        </w:rPr>
        <w:t>·</w:t>
      </w:r>
      <w:proofErr w:type="gramEnd"/>
      <w:r w:rsidRPr="008E7939">
        <w:rPr>
          <w:rFonts w:ascii="標楷體" w:eastAsia="標楷體" w:hAnsi="標楷體"/>
          <w:sz w:val="20"/>
          <w:szCs w:val="20"/>
          <w:u w:val="single"/>
        </w:rPr>
        <w:t>A</w:t>
      </w:r>
      <w:r w:rsidRPr="008E7939">
        <w:rPr>
          <w:rFonts w:ascii="標楷體" w:eastAsia="標楷體" w:hAnsi="標楷體"/>
          <w:sz w:val="20"/>
          <w:szCs w:val="20"/>
          <w:u w:val="single"/>
          <w:vertAlign w:val="subscript"/>
        </w:rPr>
        <w:t>Gross</w:t>
      </w:r>
      <w:r w:rsidRPr="008E7939">
        <w:rPr>
          <w:rFonts w:ascii="標楷體" w:eastAsia="標楷體" w:hAnsi="標楷體"/>
          <w:sz w:val="20"/>
          <w:szCs w:val="20"/>
          <w:u w:val="single"/>
        </w:rPr>
        <w:t xml:space="preserve"> + 0.6</w:t>
      </w:r>
      <w:proofErr w:type="gramStart"/>
      <w:r w:rsidRPr="008E7939">
        <w:rPr>
          <w:rFonts w:ascii="標楷體" w:eastAsia="標楷體" w:hAnsi="標楷體"/>
          <w:sz w:val="20"/>
          <w:szCs w:val="20"/>
          <w:u w:val="single"/>
        </w:rPr>
        <w:t>·</w:t>
      </w:r>
      <w:proofErr w:type="gramEnd"/>
      <w:r w:rsidRPr="008E7939">
        <w:rPr>
          <w:rFonts w:ascii="標楷體" w:eastAsia="標楷體" w:hAnsi="標楷體"/>
          <w:sz w:val="20"/>
          <w:szCs w:val="20"/>
          <w:u w:val="single"/>
        </w:rPr>
        <w:t>NGR</w:t>
      </w:r>
      <w:proofErr w:type="gramStart"/>
      <w:r w:rsidRPr="008E7939">
        <w:rPr>
          <w:rFonts w:ascii="標楷體" w:eastAsia="標楷體" w:hAnsi="標楷體"/>
          <w:sz w:val="20"/>
          <w:szCs w:val="20"/>
          <w:u w:val="single"/>
        </w:rPr>
        <w:t>·</w:t>
      </w:r>
      <w:proofErr w:type="gramEnd"/>
      <w:r w:rsidRPr="008E7939">
        <w:rPr>
          <w:rFonts w:ascii="標楷體" w:eastAsia="標楷體" w:hAnsi="標楷體"/>
          <w:sz w:val="20"/>
          <w:szCs w:val="20"/>
          <w:u w:val="single"/>
        </w:rPr>
        <w:t>A</w:t>
      </w:r>
      <w:r w:rsidRPr="008E7939">
        <w:rPr>
          <w:rFonts w:ascii="標楷體" w:eastAsia="標楷體" w:hAnsi="標楷體"/>
          <w:sz w:val="20"/>
          <w:szCs w:val="20"/>
          <w:u w:val="single"/>
          <w:vertAlign w:val="subscript"/>
        </w:rPr>
        <w:t>Gross</w:t>
      </w:r>
      <w:r w:rsidRPr="008E7939">
        <w:rPr>
          <w:rFonts w:ascii="標楷體" w:eastAsia="標楷體" w:hAnsi="標楷體" w:hint="eastAsia"/>
          <w:sz w:val="20"/>
          <w:szCs w:val="20"/>
          <w:u w:val="single"/>
        </w:rPr>
        <w:t>時，可以算出個別未來潛在</w:t>
      </w:r>
      <w:proofErr w:type="gramStart"/>
      <w:r w:rsidRPr="008E7939">
        <w:rPr>
          <w:rFonts w:ascii="標楷體" w:eastAsia="標楷體" w:hAnsi="標楷體" w:hint="eastAsia"/>
          <w:sz w:val="20"/>
          <w:szCs w:val="20"/>
          <w:u w:val="single"/>
        </w:rPr>
        <w:t>暴險額</w:t>
      </w:r>
      <w:proofErr w:type="gramEnd"/>
      <w:r w:rsidRPr="008E7939">
        <w:rPr>
          <w:rFonts w:ascii="標楷體" w:eastAsia="標楷體" w:hAnsi="標楷體" w:hint="eastAsia"/>
          <w:sz w:val="20"/>
          <w:szCs w:val="20"/>
          <w:u w:val="single"/>
        </w:rPr>
        <w:t>(即名目本金乘上對應之未來潛在</w:t>
      </w:r>
      <w:proofErr w:type="gramStart"/>
      <w:r w:rsidRPr="008E7939">
        <w:rPr>
          <w:rFonts w:ascii="標楷體" w:eastAsia="標楷體" w:hAnsi="標楷體" w:hint="eastAsia"/>
          <w:sz w:val="20"/>
          <w:szCs w:val="20"/>
          <w:u w:val="single"/>
        </w:rPr>
        <w:t>暴險額</w:t>
      </w:r>
      <w:proofErr w:type="gramEnd"/>
      <w:r w:rsidRPr="008E7939">
        <w:rPr>
          <w:rFonts w:ascii="標楷體" w:eastAsia="標楷體" w:hAnsi="標楷體" w:hint="eastAsia"/>
          <w:sz w:val="20"/>
          <w:szCs w:val="20"/>
          <w:u w:val="single"/>
        </w:rPr>
        <w:t>計算權數)，從</w:t>
      </w:r>
      <w:proofErr w:type="spellStart"/>
      <w:r w:rsidRPr="008E7939">
        <w:rPr>
          <w:rFonts w:ascii="標楷體" w:eastAsia="標楷體" w:hAnsi="標楷體"/>
          <w:sz w:val="20"/>
          <w:szCs w:val="20"/>
          <w:u w:val="single"/>
        </w:rPr>
        <w:t>A</w:t>
      </w:r>
      <w:r w:rsidRPr="008E7939">
        <w:rPr>
          <w:rFonts w:ascii="標楷體" w:eastAsia="標楷體" w:hAnsi="標楷體"/>
          <w:sz w:val="20"/>
          <w:szCs w:val="20"/>
          <w:u w:val="single"/>
          <w:vertAlign w:val="subscript"/>
        </w:rPr>
        <w:t>Gross</w:t>
      </w:r>
      <w:proofErr w:type="spellEnd"/>
      <w:r w:rsidRPr="008E7939">
        <w:rPr>
          <w:rFonts w:ascii="標楷體" w:eastAsia="標楷體" w:hAnsi="標楷體" w:hint="eastAsia"/>
          <w:sz w:val="20"/>
          <w:szCs w:val="20"/>
          <w:u w:val="single"/>
        </w:rPr>
        <w:t>扣減，但NGR不得做任何調整。</w:t>
      </w:r>
    </w:p>
  </w:footnote>
  <w:footnote w:id="5">
    <w:p w:rsidR="00274DDF" w:rsidRPr="00483269" w:rsidRDefault="00274DDF" w:rsidP="00BD3DE0">
      <w:pPr>
        <w:pStyle w:val="a7"/>
        <w:ind w:left="80" w:hangingChars="40" w:hanging="80"/>
        <w:jc w:val="both"/>
      </w:pPr>
      <w:r w:rsidRPr="008E7939">
        <w:rPr>
          <w:rStyle w:val="a8"/>
          <w:rFonts w:ascii="標楷體" w:eastAsia="標楷體" w:hAnsi="標楷體"/>
        </w:rPr>
        <w:footnoteRef/>
      </w:r>
      <w:r w:rsidRPr="008E7939">
        <w:rPr>
          <w:rFonts w:ascii="標楷體" w:eastAsia="標楷體" w:hAnsi="標楷體" w:hint="eastAsia"/>
          <w:u w:val="single"/>
        </w:rPr>
        <w:t>若信用保障提供人同時另有承買信用保障，承買之信用保障亦須在第一類資本淨額中反映公平價值正數調整，並減少其有效名目本金。</w:t>
      </w:r>
    </w:p>
  </w:footnote>
  <w:footnote w:id="6">
    <w:p w:rsidR="008566ED" w:rsidRPr="008E7939" w:rsidRDefault="008566ED" w:rsidP="008566ED">
      <w:pPr>
        <w:pStyle w:val="a7"/>
        <w:jc w:val="both"/>
        <w:rPr>
          <w:rFonts w:ascii="標楷體" w:eastAsia="標楷體" w:hAnsi="標楷體"/>
        </w:rPr>
      </w:pPr>
      <w:r w:rsidRPr="008E7939">
        <w:rPr>
          <w:rStyle w:val="a8"/>
          <w:rFonts w:ascii="標楷體" w:eastAsia="標楷體" w:hAnsi="標楷體"/>
        </w:rPr>
        <w:footnoteRef/>
      </w:r>
      <w:r w:rsidRPr="008E7939">
        <w:rPr>
          <w:rFonts w:ascii="標楷體" w:eastAsia="標楷體" w:hAnsi="標楷體" w:hint="eastAsia"/>
          <w:bCs/>
          <w:u w:val="single"/>
        </w:rPr>
        <w:t>例如透過財團法人中華民國證券櫃檯買賣中心債券等</w:t>
      </w:r>
      <w:proofErr w:type="gramStart"/>
      <w:r w:rsidRPr="008E7939">
        <w:rPr>
          <w:rFonts w:ascii="標楷體" w:eastAsia="標楷體" w:hAnsi="標楷體" w:hint="eastAsia"/>
          <w:bCs/>
          <w:u w:val="single"/>
        </w:rPr>
        <w:t>殖</w:t>
      </w:r>
      <w:proofErr w:type="gramEnd"/>
      <w:r w:rsidRPr="008E7939">
        <w:rPr>
          <w:rFonts w:ascii="標楷體" w:eastAsia="標楷體" w:hAnsi="標楷體" w:hint="eastAsia"/>
          <w:bCs/>
          <w:u w:val="single"/>
        </w:rPr>
        <w:t>成交系統，依規定</w:t>
      </w:r>
      <w:proofErr w:type="gramStart"/>
      <w:r w:rsidRPr="008E7939">
        <w:rPr>
          <w:rFonts w:ascii="標楷體" w:eastAsia="標楷體" w:hAnsi="標楷體" w:hint="eastAsia"/>
          <w:bCs/>
          <w:u w:val="single"/>
        </w:rPr>
        <w:t>採</w:t>
      </w:r>
      <w:proofErr w:type="gramEnd"/>
      <w:r w:rsidRPr="008E7939">
        <w:rPr>
          <w:rFonts w:ascii="標楷體" w:eastAsia="標楷體" w:hAnsi="標楷體" w:hint="eastAsia"/>
          <w:bCs/>
          <w:u w:val="single"/>
        </w:rPr>
        <w:t>淨額給付結算之附條件交易。</w:t>
      </w:r>
    </w:p>
  </w:footnote>
  <w:footnote w:id="7">
    <w:p w:rsidR="00274DDF" w:rsidRPr="008566ED" w:rsidRDefault="00274DDF" w:rsidP="008566ED">
      <w:pPr>
        <w:ind w:left="80" w:hangingChars="40" w:hanging="80"/>
        <w:jc w:val="both"/>
        <w:rPr>
          <w:rFonts w:ascii="標楷體" w:eastAsia="標楷體" w:hAnsi="標楷體"/>
          <w:bCs/>
          <w:color w:val="FF0000"/>
          <w:sz w:val="20"/>
          <w:szCs w:val="20"/>
          <w:u w:val="single"/>
        </w:rPr>
      </w:pPr>
      <w:r w:rsidRPr="008E7939">
        <w:rPr>
          <w:rStyle w:val="a8"/>
          <w:rFonts w:ascii="標楷體" w:eastAsia="標楷體" w:hAnsi="標楷體"/>
          <w:sz w:val="20"/>
          <w:szCs w:val="20"/>
        </w:rPr>
        <w:footnoteRef/>
      </w:r>
      <w:r w:rsidRPr="008E7939">
        <w:rPr>
          <w:rFonts w:ascii="標楷體" w:eastAsia="標楷體" w:hAnsi="標楷體" w:hint="eastAsia"/>
          <w:sz w:val="20"/>
          <w:szCs w:val="20"/>
          <w:u w:val="single"/>
        </w:rPr>
        <w:t>「合格」淨額結算合約參照</w:t>
      </w:r>
      <w:r w:rsidRPr="008E7939">
        <w:rPr>
          <w:rFonts w:ascii="標楷體" w:eastAsia="標楷體" w:hAnsi="標楷體" w:hint="eastAsia"/>
          <w:bCs/>
          <w:sz w:val="20"/>
          <w:szCs w:val="20"/>
          <w:u w:val="single"/>
        </w:rPr>
        <w:t>計算方法說明-信用風險標準法，三、風險抵減工具 (d) 訂有淨額結算合約之有價證券融資交易。</w:t>
      </w:r>
    </w:p>
  </w:footnote>
  <w:footnote w:id="8">
    <w:p w:rsidR="00274DDF" w:rsidRDefault="008566ED" w:rsidP="00BD3DE0">
      <w:pPr>
        <w:pStyle w:val="a7"/>
        <w:ind w:left="80" w:hangingChars="40" w:hanging="80"/>
        <w:jc w:val="both"/>
      </w:pPr>
      <w:r w:rsidRPr="008E7939">
        <w:rPr>
          <w:rStyle w:val="a8"/>
          <w:rFonts w:ascii="標楷體" w:eastAsia="標楷體" w:hAnsi="標楷體" w:hint="eastAsia"/>
        </w:rPr>
        <w:t>7</w:t>
      </w:r>
      <w:r w:rsidR="00274DDF" w:rsidRPr="008E7939">
        <w:rPr>
          <w:rFonts w:ascii="標楷體" w:eastAsia="標楷體" w:hAnsi="標楷體" w:hint="eastAsia"/>
          <w:u w:val="single"/>
        </w:rPr>
        <w:t>包括於計算基準日，信用卡及現金卡持卡人未動用循環額度者，其尚未動用之信用額度。</w:t>
      </w:r>
    </w:p>
  </w:footnote>
  <w:footnote w:id="9">
    <w:p w:rsidR="002A771A" w:rsidRPr="00A50798" w:rsidRDefault="002A771A" w:rsidP="002A771A">
      <w:pPr>
        <w:pStyle w:val="a7"/>
        <w:rPr>
          <w:rFonts w:ascii="標楷體" w:eastAsia="標楷體" w:hAnsi="標楷體"/>
        </w:rPr>
      </w:pPr>
      <w:r w:rsidRPr="00A50798">
        <w:rPr>
          <w:rStyle w:val="a8"/>
          <w:rFonts w:ascii="標楷體" w:eastAsia="標楷體" w:hAnsi="標楷體"/>
        </w:rPr>
        <w:footnoteRef/>
      </w:r>
      <w:r w:rsidRPr="00A50798">
        <w:rPr>
          <w:rFonts w:ascii="標楷體" w:eastAsia="標楷體" w:hAnsi="標楷體"/>
        </w:rPr>
        <w:t xml:space="preserve"> </w:t>
      </w:r>
      <w:proofErr w:type="gramStart"/>
      <w:r w:rsidRPr="00A50798">
        <w:rPr>
          <w:rFonts w:ascii="標楷體" w:eastAsia="標楷體" w:hAnsi="標楷體" w:hint="eastAsia"/>
        </w:rPr>
        <w:t>均已減</w:t>
      </w:r>
      <w:proofErr w:type="gramEnd"/>
      <w:r w:rsidRPr="00A50798">
        <w:rPr>
          <w:rFonts w:ascii="標楷體" w:eastAsia="標楷體" w:hAnsi="標楷體" w:hint="eastAsia"/>
        </w:rPr>
        <w:t>除資本扣除項目。</w:t>
      </w:r>
    </w:p>
  </w:footnote>
  <w:footnote w:id="10">
    <w:p w:rsidR="002A771A" w:rsidRPr="00A50798" w:rsidRDefault="002A771A" w:rsidP="002A771A">
      <w:pPr>
        <w:pStyle w:val="a7"/>
        <w:rPr>
          <w:rFonts w:ascii="標楷體" w:eastAsia="標楷體" w:hAnsi="標楷體"/>
        </w:rPr>
      </w:pPr>
      <w:r w:rsidRPr="00A50798">
        <w:rPr>
          <w:rStyle w:val="a8"/>
          <w:rFonts w:ascii="標楷體" w:eastAsia="標楷體" w:hAnsi="標楷體"/>
        </w:rPr>
        <w:footnoteRef/>
      </w:r>
      <w:r w:rsidRPr="00A50798">
        <w:rPr>
          <w:rFonts w:ascii="標楷體" w:eastAsia="標楷體" w:hAnsi="標楷體"/>
        </w:rPr>
        <w:t xml:space="preserve"> </w:t>
      </w:r>
      <w:proofErr w:type="gramStart"/>
      <w:r w:rsidRPr="00A50798">
        <w:rPr>
          <w:rFonts w:ascii="標楷體" w:eastAsia="標楷體" w:hAnsi="標楷體" w:hint="eastAsia"/>
        </w:rPr>
        <w:t>均已減</w:t>
      </w:r>
      <w:proofErr w:type="gramEnd"/>
      <w:r w:rsidRPr="00A50798">
        <w:rPr>
          <w:rFonts w:ascii="標楷體" w:eastAsia="標楷體" w:hAnsi="標楷體" w:hint="eastAsia"/>
        </w:rPr>
        <w:t>除資本扣除項目。</w:t>
      </w:r>
    </w:p>
  </w:footnote>
  <w:footnote w:id="11">
    <w:p w:rsidR="002A771A" w:rsidRPr="003A5F27" w:rsidRDefault="002A771A" w:rsidP="002A771A">
      <w:pPr>
        <w:pStyle w:val="a7"/>
        <w:rPr>
          <w:u w:val="single"/>
        </w:rPr>
      </w:pPr>
      <w:r w:rsidRPr="003A5F27">
        <w:rPr>
          <w:rStyle w:val="a8"/>
          <w:u w:val="single"/>
        </w:rPr>
        <w:footnoteRef/>
      </w:r>
      <w:r w:rsidRPr="003A5F27">
        <w:rPr>
          <w:rFonts w:eastAsia="標楷體" w:hAnsi="標楷體" w:hint="eastAsia"/>
          <w:u w:val="single"/>
        </w:rPr>
        <w:t xml:space="preserve"> </w:t>
      </w:r>
      <w:proofErr w:type="gramStart"/>
      <w:r w:rsidRPr="003A5F27">
        <w:rPr>
          <w:rFonts w:eastAsia="標楷體" w:hAnsi="標楷體"/>
          <w:u w:val="single"/>
        </w:rPr>
        <w:t>其他</w:t>
      </w:r>
      <w:r w:rsidRPr="003A5F27">
        <w:rPr>
          <w:rFonts w:eastAsia="標楷體" w:hAnsi="標楷體"/>
          <w:bCs/>
          <w:u w:val="single"/>
        </w:rPr>
        <w:t>衍</w:t>
      </w:r>
      <w:proofErr w:type="gramEnd"/>
      <w:r w:rsidRPr="003A5F27">
        <w:rPr>
          <w:rFonts w:eastAsia="標楷體" w:hAnsi="標楷體"/>
          <w:bCs/>
          <w:u w:val="single"/>
        </w:rPr>
        <w:t>生</w:t>
      </w:r>
      <w:r w:rsidRPr="003A5F27">
        <w:rPr>
          <w:rFonts w:eastAsia="標楷體" w:hAnsi="標楷體" w:hint="eastAsia"/>
          <w:bCs/>
          <w:u w:val="single"/>
        </w:rPr>
        <w:t>性</w:t>
      </w:r>
      <w:r w:rsidRPr="003A5F27">
        <w:rPr>
          <w:rFonts w:eastAsia="標楷體" w:hAnsi="標楷體"/>
          <w:bCs/>
          <w:u w:val="single"/>
        </w:rPr>
        <w:t>金融商品資產項科目餘額，其中包含保證金與評價科目。</w:t>
      </w:r>
    </w:p>
  </w:footnote>
  <w:footnote w:id="12">
    <w:p w:rsidR="002A771A" w:rsidRPr="00A50798" w:rsidRDefault="002A771A" w:rsidP="002A771A">
      <w:pPr>
        <w:pStyle w:val="a7"/>
      </w:pPr>
      <w:r w:rsidRPr="003A5F27">
        <w:rPr>
          <w:rStyle w:val="a8"/>
          <w:u w:val="single"/>
        </w:rPr>
        <w:footnoteRef/>
      </w:r>
      <w:r w:rsidRPr="003A5F27">
        <w:rPr>
          <w:rFonts w:eastAsia="標楷體" w:hAnsi="標楷體" w:hint="eastAsia"/>
          <w:bCs/>
          <w:u w:val="single"/>
        </w:rPr>
        <w:t xml:space="preserve"> </w:t>
      </w:r>
      <w:r w:rsidRPr="003A5F27">
        <w:rPr>
          <w:rFonts w:eastAsia="標楷體" w:hAnsi="標楷體"/>
          <w:bCs/>
          <w:u w:val="single"/>
        </w:rPr>
        <w:t>如應收承兌票款</w:t>
      </w:r>
      <w:r w:rsidRPr="003A5F27">
        <w:rPr>
          <w:rFonts w:eastAsia="標楷體" w:hAnsi="標楷體" w:hint="eastAsia"/>
          <w:bCs/>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Pr="00E51C27" w:rsidRDefault="00274DDF" w:rsidP="00E51C27">
    <w:pPr>
      <w:pStyle w:val="a6"/>
      <w:wordWrap w:val="0"/>
      <w:jc w:val="right"/>
      <w:rPr>
        <w:rFonts w:eastAsia="標楷體"/>
        <w:b/>
        <w:color w:val="0000FF"/>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E0D"/>
    <w:multiLevelType w:val="hybridMultilevel"/>
    <w:tmpl w:val="350A0BA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9F5773"/>
    <w:multiLevelType w:val="hybridMultilevel"/>
    <w:tmpl w:val="7206BE9A"/>
    <w:lvl w:ilvl="0" w:tplc="F4920A08">
      <w:start w:val="1"/>
      <w:numFmt w:val="taiwaneseCountingThousand"/>
      <w:lvlText w:val="%1、"/>
      <w:lvlJc w:val="left"/>
      <w:pPr>
        <w:tabs>
          <w:tab w:val="num" w:pos="1037"/>
        </w:tabs>
        <w:ind w:left="1037" w:hanging="720"/>
      </w:pPr>
      <w:rPr>
        <w:rFonts w:hint="default"/>
        <w:color w:val="auto"/>
      </w:rPr>
    </w:lvl>
    <w:lvl w:ilvl="1" w:tplc="ACB65E1A">
      <w:start w:val="1"/>
      <w:numFmt w:val="taiwaneseCountingThousand"/>
      <w:lvlText w:val="(%2)"/>
      <w:lvlJc w:val="left"/>
      <w:pPr>
        <w:tabs>
          <w:tab w:val="num" w:pos="1517"/>
        </w:tabs>
        <w:ind w:left="1517" w:hanging="720"/>
      </w:pPr>
      <w:rPr>
        <w:rFonts w:ascii="標楷體" w:eastAsia="標楷體" w:hAnsi="標楷體" w:hint="default"/>
        <w:b w:val="0"/>
        <w:color w:val="auto"/>
      </w:rPr>
    </w:lvl>
    <w:lvl w:ilvl="2" w:tplc="A0A8C12E">
      <w:start w:val="1"/>
      <w:numFmt w:val="decimal"/>
      <w:lvlText w:val="%3、"/>
      <w:lvlJc w:val="left"/>
      <w:pPr>
        <w:tabs>
          <w:tab w:val="num" w:pos="1757"/>
        </w:tabs>
        <w:ind w:left="1757" w:hanging="480"/>
      </w:pPr>
      <w:rPr>
        <w:rFonts w:ascii="Times New Roman" w:hAnsi="Times New Roman" w:cs="Times New Roman" w:hint="default"/>
        <w:color w:val="auto"/>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
    <w:nsid w:val="07DE7BA3"/>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B4C0C35"/>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19E7D1C"/>
    <w:multiLevelType w:val="hybridMultilevel"/>
    <w:tmpl w:val="DFB60C9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790F9D"/>
    <w:multiLevelType w:val="multilevel"/>
    <w:tmpl w:val="A8E4BC3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5A7656C"/>
    <w:multiLevelType w:val="hybridMultilevel"/>
    <w:tmpl w:val="588C6F4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D8A6066"/>
    <w:multiLevelType w:val="hybridMultilevel"/>
    <w:tmpl w:val="D514129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2C35004"/>
    <w:multiLevelType w:val="hybridMultilevel"/>
    <w:tmpl w:val="C3588A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653C97"/>
    <w:multiLevelType w:val="multilevel"/>
    <w:tmpl w:val="071E48D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8F61C27"/>
    <w:multiLevelType w:val="hybridMultilevel"/>
    <w:tmpl w:val="071E48DE"/>
    <w:lvl w:ilvl="0" w:tplc="E4BA2FB8">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960"/>
        </w:tabs>
        <w:ind w:left="960" w:hanging="480"/>
      </w:pPr>
      <w:rPr>
        <w:rFonts w:ascii="Wingdings" w:hAnsi="Wingdings" w:hint="default"/>
      </w:rPr>
    </w:lvl>
    <w:lvl w:ilvl="2" w:tplc="FDE6FAF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1776AA"/>
    <w:multiLevelType w:val="multilevel"/>
    <w:tmpl w:val="071E48D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B9B096F"/>
    <w:multiLevelType w:val="multilevel"/>
    <w:tmpl w:val="E642299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BCF72BD"/>
    <w:multiLevelType w:val="hybridMultilevel"/>
    <w:tmpl w:val="007AA09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2D4C701F"/>
    <w:multiLevelType w:val="multilevel"/>
    <w:tmpl w:val="4E52EDF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4724718"/>
    <w:multiLevelType w:val="hybridMultilevel"/>
    <w:tmpl w:val="BAD2860A"/>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578770C"/>
    <w:multiLevelType w:val="hybridMultilevel"/>
    <w:tmpl w:val="A8E4BC30"/>
    <w:lvl w:ilvl="0" w:tplc="E4BA2FB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7B5098"/>
    <w:multiLevelType w:val="hybridMultilevel"/>
    <w:tmpl w:val="31C485F0"/>
    <w:lvl w:ilvl="0" w:tplc="FDE6FAF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79E5C2E"/>
    <w:multiLevelType w:val="hybridMultilevel"/>
    <w:tmpl w:val="EA4C1AEA"/>
    <w:lvl w:ilvl="0" w:tplc="FDE6FAF8">
      <w:start w:val="1"/>
      <w:numFmt w:val="decimal"/>
      <w:lvlText w:val="%1."/>
      <w:lvlJc w:val="left"/>
      <w:pPr>
        <w:tabs>
          <w:tab w:val="num" w:pos="1320"/>
        </w:tabs>
        <w:ind w:left="1320" w:hanging="360"/>
      </w:pPr>
      <w:rPr>
        <w:rFonts w:hint="default"/>
      </w:rPr>
    </w:lvl>
    <w:lvl w:ilvl="1" w:tplc="301E798A">
      <w:start w:val="1"/>
      <w:numFmt w:val="taiwaneseCountingThousand"/>
      <w:lvlText w:val="（%2）"/>
      <w:lvlJc w:val="left"/>
      <w:pPr>
        <w:tabs>
          <w:tab w:val="num" w:pos="1200"/>
        </w:tabs>
        <w:ind w:left="1200" w:hanging="720"/>
      </w:pPr>
      <w:rPr>
        <w:rFonts w:hint="default"/>
      </w:rPr>
    </w:lvl>
    <w:lvl w:ilvl="2" w:tplc="04090009">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5334E9"/>
    <w:multiLevelType w:val="hybridMultilevel"/>
    <w:tmpl w:val="0BE0E97A"/>
    <w:lvl w:ilvl="0" w:tplc="E4BA2FB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D45544"/>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C3D7222"/>
    <w:multiLevelType w:val="hybridMultilevel"/>
    <w:tmpl w:val="799CD35E"/>
    <w:lvl w:ilvl="0" w:tplc="EAEE3B6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FB16FBA"/>
    <w:multiLevelType w:val="hybridMultilevel"/>
    <w:tmpl w:val="80A473FA"/>
    <w:lvl w:ilvl="0" w:tplc="88F458F4">
      <w:start w:val="1"/>
      <w:numFmt w:val="upperLetter"/>
      <w:lvlText w:val="%1."/>
      <w:lvlJc w:val="left"/>
      <w:pPr>
        <w:tabs>
          <w:tab w:val="num" w:pos="360"/>
        </w:tabs>
        <w:ind w:left="360" w:hanging="360"/>
      </w:pPr>
      <w:rPr>
        <w:rFonts w:hint="eastAsia"/>
        <w:b w:val="0"/>
        <w:i w:val="0"/>
        <w:sz w:val="26"/>
      </w:rPr>
    </w:lvl>
    <w:lvl w:ilvl="1" w:tplc="E4BA2FB8">
      <w:start w:val="1"/>
      <w:numFmt w:val="lowerLetter"/>
      <w:lvlText w:val="%2."/>
      <w:lvlJc w:val="left"/>
      <w:pPr>
        <w:tabs>
          <w:tab w:val="num" w:pos="-600"/>
        </w:tabs>
        <w:ind w:left="-600" w:hanging="360"/>
      </w:pPr>
      <w:rPr>
        <w:rFonts w:hint="default"/>
        <w:b w:val="0"/>
        <w:i w:val="0"/>
        <w:sz w:val="26"/>
      </w:r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3">
    <w:nsid w:val="51EA53DC"/>
    <w:multiLevelType w:val="multilevel"/>
    <w:tmpl w:val="A8E4BC3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38B3F02"/>
    <w:multiLevelType w:val="hybridMultilevel"/>
    <w:tmpl w:val="F404DF88"/>
    <w:lvl w:ilvl="0" w:tplc="E4BA2FB8">
      <w:start w:val="1"/>
      <w:numFmt w:val="lowerLetter"/>
      <w:lvlText w:val="%1."/>
      <w:lvlJc w:val="left"/>
      <w:pPr>
        <w:tabs>
          <w:tab w:val="num" w:pos="360"/>
        </w:tabs>
        <w:ind w:left="360" w:hanging="360"/>
      </w:pPr>
      <w:rPr>
        <w:rFonts w:hint="default"/>
      </w:rPr>
    </w:lvl>
    <w:lvl w:ilvl="1" w:tplc="2454096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1994455"/>
    <w:multiLevelType w:val="hybridMultilevel"/>
    <w:tmpl w:val="6016A280"/>
    <w:lvl w:ilvl="0" w:tplc="E4BA2FB8">
      <w:start w:val="1"/>
      <w:numFmt w:val="lowerLetter"/>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6">
    <w:nsid w:val="721A2426"/>
    <w:multiLevelType w:val="hybridMultilevel"/>
    <w:tmpl w:val="8C36769C"/>
    <w:lvl w:ilvl="0" w:tplc="B15A7330">
      <w:start w:val="1"/>
      <w:numFmt w:val="taiwaneseCountingThousand"/>
      <w:lvlText w:val="%1、"/>
      <w:lvlJc w:val="left"/>
      <w:pPr>
        <w:ind w:left="720" w:hanging="72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F427F7"/>
    <w:multiLevelType w:val="multilevel"/>
    <w:tmpl w:val="80A473FA"/>
    <w:lvl w:ilvl="0">
      <w:start w:val="1"/>
      <w:numFmt w:val="upperLetter"/>
      <w:lvlText w:val="%1."/>
      <w:lvlJc w:val="left"/>
      <w:pPr>
        <w:tabs>
          <w:tab w:val="num" w:pos="360"/>
        </w:tabs>
        <w:ind w:left="360" w:hanging="360"/>
      </w:pPr>
      <w:rPr>
        <w:rFonts w:hint="eastAsia"/>
        <w:b w:val="0"/>
        <w:i w:val="0"/>
        <w:sz w:val="26"/>
      </w:rPr>
    </w:lvl>
    <w:lvl w:ilvl="1">
      <w:start w:val="1"/>
      <w:numFmt w:val="lowerLetter"/>
      <w:lvlText w:val="%2."/>
      <w:lvlJc w:val="left"/>
      <w:pPr>
        <w:tabs>
          <w:tab w:val="num" w:pos="-600"/>
        </w:tabs>
        <w:ind w:left="-600" w:hanging="360"/>
      </w:pPr>
      <w:rPr>
        <w:rFonts w:hint="default"/>
        <w:b w:val="0"/>
        <w:i w:val="0"/>
        <w:sz w:val="26"/>
      </w:rPr>
    </w:lvl>
    <w:lvl w:ilvl="2">
      <w:start w:val="1"/>
      <w:numFmt w:val="lowerRoman"/>
      <w:lvlText w:val="%3."/>
      <w:lvlJc w:val="right"/>
      <w:pPr>
        <w:tabs>
          <w:tab w:val="num" w:pos="0"/>
        </w:tabs>
        <w:ind w:left="0" w:hanging="480"/>
      </w:pPr>
    </w:lvl>
    <w:lvl w:ilvl="3">
      <w:start w:val="1"/>
      <w:numFmt w:val="decimal"/>
      <w:lvlText w:val="%4."/>
      <w:lvlJc w:val="left"/>
      <w:pPr>
        <w:tabs>
          <w:tab w:val="num" w:pos="480"/>
        </w:tabs>
        <w:ind w:left="480" w:hanging="480"/>
      </w:pPr>
    </w:lvl>
    <w:lvl w:ilvl="4">
      <w:start w:val="1"/>
      <w:numFmt w:val="ideographTraditional"/>
      <w:lvlText w:val="%5、"/>
      <w:lvlJc w:val="left"/>
      <w:pPr>
        <w:tabs>
          <w:tab w:val="num" w:pos="960"/>
        </w:tabs>
        <w:ind w:left="960" w:hanging="480"/>
      </w:pPr>
    </w:lvl>
    <w:lvl w:ilvl="5">
      <w:start w:val="1"/>
      <w:numFmt w:val="lowerRoman"/>
      <w:lvlText w:val="%6."/>
      <w:lvlJc w:val="right"/>
      <w:pPr>
        <w:tabs>
          <w:tab w:val="num" w:pos="1440"/>
        </w:tabs>
        <w:ind w:left="1440" w:hanging="480"/>
      </w:pPr>
    </w:lvl>
    <w:lvl w:ilvl="6">
      <w:start w:val="1"/>
      <w:numFmt w:val="decimal"/>
      <w:lvlText w:val="%7."/>
      <w:lvlJc w:val="left"/>
      <w:pPr>
        <w:tabs>
          <w:tab w:val="num" w:pos="1920"/>
        </w:tabs>
        <w:ind w:left="1920" w:hanging="480"/>
      </w:pPr>
    </w:lvl>
    <w:lvl w:ilvl="7">
      <w:start w:val="1"/>
      <w:numFmt w:val="ideographTraditional"/>
      <w:lvlText w:val="%8、"/>
      <w:lvlJc w:val="left"/>
      <w:pPr>
        <w:tabs>
          <w:tab w:val="num" w:pos="2400"/>
        </w:tabs>
        <w:ind w:left="2400" w:hanging="480"/>
      </w:pPr>
    </w:lvl>
    <w:lvl w:ilvl="8">
      <w:start w:val="1"/>
      <w:numFmt w:val="lowerRoman"/>
      <w:lvlText w:val="%9."/>
      <w:lvlJc w:val="right"/>
      <w:pPr>
        <w:tabs>
          <w:tab w:val="num" w:pos="2880"/>
        </w:tabs>
        <w:ind w:left="2880" w:hanging="480"/>
      </w:pPr>
    </w:lvl>
  </w:abstractNum>
  <w:num w:numId="1">
    <w:abstractNumId w:val="22"/>
  </w:num>
  <w:num w:numId="2">
    <w:abstractNumId w:val="10"/>
  </w:num>
  <w:num w:numId="3">
    <w:abstractNumId w:val="14"/>
  </w:num>
  <w:num w:numId="4">
    <w:abstractNumId w:val="16"/>
  </w:num>
  <w:num w:numId="5">
    <w:abstractNumId w:val="5"/>
  </w:num>
  <w:num w:numId="6">
    <w:abstractNumId w:val="19"/>
  </w:num>
  <w:num w:numId="7">
    <w:abstractNumId w:val="23"/>
  </w:num>
  <w:num w:numId="8">
    <w:abstractNumId w:val="24"/>
  </w:num>
  <w:num w:numId="9">
    <w:abstractNumId w:val="12"/>
  </w:num>
  <w:num w:numId="10">
    <w:abstractNumId w:val="27"/>
  </w:num>
  <w:num w:numId="11">
    <w:abstractNumId w:val="25"/>
  </w:num>
  <w:num w:numId="12">
    <w:abstractNumId w:val="8"/>
  </w:num>
  <w:num w:numId="13">
    <w:abstractNumId w:val="15"/>
  </w:num>
  <w:num w:numId="14">
    <w:abstractNumId w:val="11"/>
  </w:num>
  <w:num w:numId="15">
    <w:abstractNumId w:val="17"/>
  </w:num>
  <w:num w:numId="16">
    <w:abstractNumId w:val="9"/>
  </w:num>
  <w:num w:numId="17">
    <w:abstractNumId w:val="18"/>
  </w:num>
  <w:num w:numId="18">
    <w:abstractNumId w:val="13"/>
  </w:num>
  <w:num w:numId="19">
    <w:abstractNumId w:val="21"/>
  </w:num>
  <w:num w:numId="20">
    <w:abstractNumId w:val="6"/>
  </w:num>
  <w:num w:numId="21">
    <w:abstractNumId w:val="7"/>
  </w:num>
  <w:num w:numId="22">
    <w:abstractNumId w:val="0"/>
  </w:num>
  <w:num w:numId="23">
    <w:abstractNumId w:val="20"/>
  </w:num>
  <w:num w:numId="24">
    <w:abstractNumId w:val="4"/>
  </w:num>
  <w:num w:numId="25">
    <w:abstractNumId w:val="2"/>
  </w:num>
  <w:num w:numId="26">
    <w:abstractNumId w:val="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82"/>
    <w:rsid w:val="00002741"/>
    <w:rsid w:val="00005DEA"/>
    <w:rsid w:val="00006560"/>
    <w:rsid w:val="00023907"/>
    <w:rsid w:val="00027B9A"/>
    <w:rsid w:val="00041C44"/>
    <w:rsid w:val="00047218"/>
    <w:rsid w:val="00055544"/>
    <w:rsid w:val="00057A39"/>
    <w:rsid w:val="00061E5A"/>
    <w:rsid w:val="00063B83"/>
    <w:rsid w:val="00065BC4"/>
    <w:rsid w:val="00074835"/>
    <w:rsid w:val="00083C6A"/>
    <w:rsid w:val="000B529D"/>
    <w:rsid w:val="000E3730"/>
    <w:rsid w:val="000F590B"/>
    <w:rsid w:val="000F602F"/>
    <w:rsid w:val="000F6B67"/>
    <w:rsid w:val="00102AB6"/>
    <w:rsid w:val="0010454D"/>
    <w:rsid w:val="00104AE9"/>
    <w:rsid w:val="00113098"/>
    <w:rsid w:val="001331D0"/>
    <w:rsid w:val="00133E01"/>
    <w:rsid w:val="001428EF"/>
    <w:rsid w:val="00160944"/>
    <w:rsid w:val="00173B82"/>
    <w:rsid w:val="0018439A"/>
    <w:rsid w:val="00184CD0"/>
    <w:rsid w:val="0019121D"/>
    <w:rsid w:val="00192F58"/>
    <w:rsid w:val="001940EC"/>
    <w:rsid w:val="00194161"/>
    <w:rsid w:val="00195E09"/>
    <w:rsid w:val="001A1386"/>
    <w:rsid w:val="001A2F8C"/>
    <w:rsid w:val="001A4516"/>
    <w:rsid w:val="001A5FBC"/>
    <w:rsid w:val="001B14B2"/>
    <w:rsid w:val="001C3851"/>
    <w:rsid w:val="001D03C8"/>
    <w:rsid w:val="001D5CCD"/>
    <w:rsid w:val="001E2518"/>
    <w:rsid w:val="001E4514"/>
    <w:rsid w:val="001F04EA"/>
    <w:rsid w:val="001F05F0"/>
    <w:rsid w:val="0020272B"/>
    <w:rsid w:val="0020576B"/>
    <w:rsid w:val="00215D2C"/>
    <w:rsid w:val="00216A53"/>
    <w:rsid w:val="00221D84"/>
    <w:rsid w:val="00225CCA"/>
    <w:rsid w:val="00232AF8"/>
    <w:rsid w:val="00233571"/>
    <w:rsid w:val="002372FD"/>
    <w:rsid w:val="00240482"/>
    <w:rsid w:val="0025112B"/>
    <w:rsid w:val="00251760"/>
    <w:rsid w:val="00254472"/>
    <w:rsid w:val="00256343"/>
    <w:rsid w:val="002574C1"/>
    <w:rsid w:val="002605F0"/>
    <w:rsid w:val="0026131B"/>
    <w:rsid w:val="00263C8F"/>
    <w:rsid w:val="00270515"/>
    <w:rsid w:val="00273FAB"/>
    <w:rsid w:val="00274DDF"/>
    <w:rsid w:val="0029110A"/>
    <w:rsid w:val="002A771A"/>
    <w:rsid w:val="002B06E7"/>
    <w:rsid w:val="002B40CC"/>
    <w:rsid w:val="002C4AA7"/>
    <w:rsid w:val="002D5E6E"/>
    <w:rsid w:val="00304B75"/>
    <w:rsid w:val="00312895"/>
    <w:rsid w:val="003143DF"/>
    <w:rsid w:val="003170E5"/>
    <w:rsid w:val="0032264E"/>
    <w:rsid w:val="00322DCC"/>
    <w:rsid w:val="003244BB"/>
    <w:rsid w:val="003430CD"/>
    <w:rsid w:val="00346094"/>
    <w:rsid w:val="00350074"/>
    <w:rsid w:val="00352C6E"/>
    <w:rsid w:val="00354056"/>
    <w:rsid w:val="00364749"/>
    <w:rsid w:val="00364D81"/>
    <w:rsid w:val="0036509B"/>
    <w:rsid w:val="003678BD"/>
    <w:rsid w:val="00371C00"/>
    <w:rsid w:val="00372A0E"/>
    <w:rsid w:val="0037300C"/>
    <w:rsid w:val="00385C4C"/>
    <w:rsid w:val="0039677D"/>
    <w:rsid w:val="003A132A"/>
    <w:rsid w:val="003A3744"/>
    <w:rsid w:val="003B35AA"/>
    <w:rsid w:val="003B5D4E"/>
    <w:rsid w:val="003C0EBE"/>
    <w:rsid w:val="003C17AD"/>
    <w:rsid w:val="003C713F"/>
    <w:rsid w:val="003D0B76"/>
    <w:rsid w:val="003D2E8B"/>
    <w:rsid w:val="003D6CCD"/>
    <w:rsid w:val="003E07FC"/>
    <w:rsid w:val="003E2EF0"/>
    <w:rsid w:val="003E506C"/>
    <w:rsid w:val="003E528C"/>
    <w:rsid w:val="003F15B1"/>
    <w:rsid w:val="003F6D15"/>
    <w:rsid w:val="00404766"/>
    <w:rsid w:val="00420A1D"/>
    <w:rsid w:val="0042158B"/>
    <w:rsid w:val="00422A9E"/>
    <w:rsid w:val="00431092"/>
    <w:rsid w:val="004312AA"/>
    <w:rsid w:val="00432D6F"/>
    <w:rsid w:val="0043563D"/>
    <w:rsid w:val="00443C8F"/>
    <w:rsid w:val="00450F9D"/>
    <w:rsid w:val="0046310A"/>
    <w:rsid w:val="004650F3"/>
    <w:rsid w:val="00483269"/>
    <w:rsid w:val="00486FC7"/>
    <w:rsid w:val="0049248C"/>
    <w:rsid w:val="004B1367"/>
    <w:rsid w:val="004E42FF"/>
    <w:rsid w:val="004E6A3F"/>
    <w:rsid w:val="004F3DE9"/>
    <w:rsid w:val="0052007D"/>
    <w:rsid w:val="005241C1"/>
    <w:rsid w:val="00530939"/>
    <w:rsid w:val="00531FA3"/>
    <w:rsid w:val="00534C07"/>
    <w:rsid w:val="00535C59"/>
    <w:rsid w:val="005461A6"/>
    <w:rsid w:val="00553A6E"/>
    <w:rsid w:val="00557DC3"/>
    <w:rsid w:val="005602C3"/>
    <w:rsid w:val="00563BA4"/>
    <w:rsid w:val="00563E6F"/>
    <w:rsid w:val="00564D21"/>
    <w:rsid w:val="00565BE0"/>
    <w:rsid w:val="00576FA9"/>
    <w:rsid w:val="00584377"/>
    <w:rsid w:val="00596EF1"/>
    <w:rsid w:val="00597E95"/>
    <w:rsid w:val="005A1CD0"/>
    <w:rsid w:val="005A51C3"/>
    <w:rsid w:val="005A719F"/>
    <w:rsid w:val="005C172A"/>
    <w:rsid w:val="005C3666"/>
    <w:rsid w:val="005D1D8C"/>
    <w:rsid w:val="005E01AE"/>
    <w:rsid w:val="005E63CF"/>
    <w:rsid w:val="005E6B60"/>
    <w:rsid w:val="005F3719"/>
    <w:rsid w:val="00605225"/>
    <w:rsid w:val="00607FDC"/>
    <w:rsid w:val="00610B73"/>
    <w:rsid w:val="006127B3"/>
    <w:rsid w:val="00613F46"/>
    <w:rsid w:val="0062123A"/>
    <w:rsid w:val="00627FDD"/>
    <w:rsid w:val="0063118B"/>
    <w:rsid w:val="006342DC"/>
    <w:rsid w:val="00634BDA"/>
    <w:rsid w:val="006416FD"/>
    <w:rsid w:val="00645550"/>
    <w:rsid w:val="006518D9"/>
    <w:rsid w:val="006573AA"/>
    <w:rsid w:val="006656CF"/>
    <w:rsid w:val="00670901"/>
    <w:rsid w:val="00671F23"/>
    <w:rsid w:val="00676AE5"/>
    <w:rsid w:val="00682188"/>
    <w:rsid w:val="006835FF"/>
    <w:rsid w:val="006879D6"/>
    <w:rsid w:val="00693687"/>
    <w:rsid w:val="00694018"/>
    <w:rsid w:val="006A4D85"/>
    <w:rsid w:val="006B1175"/>
    <w:rsid w:val="006D6010"/>
    <w:rsid w:val="006D7F4F"/>
    <w:rsid w:val="006E3DB7"/>
    <w:rsid w:val="006E502E"/>
    <w:rsid w:val="006E50AB"/>
    <w:rsid w:val="006E7D09"/>
    <w:rsid w:val="006F0404"/>
    <w:rsid w:val="00710A80"/>
    <w:rsid w:val="00711274"/>
    <w:rsid w:val="00713D92"/>
    <w:rsid w:val="007200C2"/>
    <w:rsid w:val="00721FF8"/>
    <w:rsid w:val="00733666"/>
    <w:rsid w:val="007617CD"/>
    <w:rsid w:val="00761C62"/>
    <w:rsid w:val="007631B3"/>
    <w:rsid w:val="007657B8"/>
    <w:rsid w:val="007802D9"/>
    <w:rsid w:val="00781345"/>
    <w:rsid w:val="00783B0A"/>
    <w:rsid w:val="00784E0E"/>
    <w:rsid w:val="00787BF4"/>
    <w:rsid w:val="00792A9A"/>
    <w:rsid w:val="00796B66"/>
    <w:rsid w:val="007A0B16"/>
    <w:rsid w:val="007B0668"/>
    <w:rsid w:val="007B2EC1"/>
    <w:rsid w:val="007C1B34"/>
    <w:rsid w:val="007D14A7"/>
    <w:rsid w:val="007D473F"/>
    <w:rsid w:val="007D7CFB"/>
    <w:rsid w:val="007E5072"/>
    <w:rsid w:val="007F7B8C"/>
    <w:rsid w:val="00810157"/>
    <w:rsid w:val="00811AA5"/>
    <w:rsid w:val="0081441A"/>
    <w:rsid w:val="008146D1"/>
    <w:rsid w:val="0081559B"/>
    <w:rsid w:val="0082000D"/>
    <w:rsid w:val="00820FC4"/>
    <w:rsid w:val="00822F15"/>
    <w:rsid w:val="00825871"/>
    <w:rsid w:val="008369CD"/>
    <w:rsid w:val="008454F9"/>
    <w:rsid w:val="00850DB7"/>
    <w:rsid w:val="008566ED"/>
    <w:rsid w:val="008574D0"/>
    <w:rsid w:val="00873FD5"/>
    <w:rsid w:val="008742A8"/>
    <w:rsid w:val="008755B7"/>
    <w:rsid w:val="00884075"/>
    <w:rsid w:val="0089111C"/>
    <w:rsid w:val="00893F98"/>
    <w:rsid w:val="0089461A"/>
    <w:rsid w:val="00897D0B"/>
    <w:rsid w:val="008A4C05"/>
    <w:rsid w:val="008B0A68"/>
    <w:rsid w:val="008C0C90"/>
    <w:rsid w:val="008C0D53"/>
    <w:rsid w:val="008C4D9C"/>
    <w:rsid w:val="008D23B4"/>
    <w:rsid w:val="008E16CB"/>
    <w:rsid w:val="008E5C1E"/>
    <w:rsid w:val="008E7939"/>
    <w:rsid w:val="008F0EFC"/>
    <w:rsid w:val="0090032F"/>
    <w:rsid w:val="00903CB1"/>
    <w:rsid w:val="00905029"/>
    <w:rsid w:val="00906256"/>
    <w:rsid w:val="00922EA5"/>
    <w:rsid w:val="00926226"/>
    <w:rsid w:val="00951C2B"/>
    <w:rsid w:val="0095576F"/>
    <w:rsid w:val="00960F85"/>
    <w:rsid w:val="00967604"/>
    <w:rsid w:val="00975D64"/>
    <w:rsid w:val="00977061"/>
    <w:rsid w:val="00984536"/>
    <w:rsid w:val="00984BE7"/>
    <w:rsid w:val="009860AE"/>
    <w:rsid w:val="009862A3"/>
    <w:rsid w:val="0099306B"/>
    <w:rsid w:val="009B1AFF"/>
    <w:rsid w:val="009C32C3"/>
    <w:rsid w:val="009C3C9B"/>
    <w:rsid w:val="009C3F43"/>
    <w:rsid w:val="009C4F32"/>
    <w:rsid w:val="009C5BC8"/>
    <w:rsid w:val="009D062D"/>
    <w:rsid w:val="009E448D"/>
    <w:rsid w:val="009F23F5"/>
    <w:rsid w:val="009F6020"/>
    <w:rsid w:val="00A01DCE"/>
    <w:rsid w:val="00A05342"/>
    <w:rsid w:val="00A2216C"/>
    <w:rsid w:val="00A317B1"/>
    <w:rsid w:val="00A34319"/>
    <w:rsid w:val="00A47103"/>
    <w:rsid w:val="00A50CD7"/>
    <w:rsid w:val="00A543B6"/>
    <w:rsid w:val="00A54508"/>
    <w:rsid w:val="00A625A9"/>
    <w:rsid w:val="00A634F9"/>
    <w:rsid w:val="00A66080"/>
    <w:rsid w:val="00A6651A"/>
    <w:rsid w:val="00A66DA1"/>
    <w:rsid w:val="00A75135"/>
    <w:rsid w:val="00A7701C"/>
    <w:rsid w:val="00A84A95"/>
    <w:rsid w:val="00A91A43"/>
    <w:rsid w:val="00A9450C"/>
    <w:rsid w:val="00A97054"/>
    <w:rsid w:val="00AB1C95"/>
    <w:rsid w:val="00AC15BE"/>
    <w:rsid w:val="00AC1703"/>
    <w:rsid w:val="00AC174E"/>
    <w:rsid w:val="00AD15ED"/>
    <w:rsid w:val="00AD2FC1"/>
    <w:rsid w:val="00AD7061"/>
    <w:rsid w:val="00AE3C16"/>
    <w:rsid w:val="00AF7B17"/>
    <w:rsid w:val="00B03863"/>
    <w:rsid w:val="00B054D7"/>
    <w:rsid w:val="00B05FC2"/>
    <w:rsid w:val="00B2180C"/>
    <w:rsid w:val="00B42AF3"/>
    <w:rsid w:val="00B52BD3"/>
    <w:rsid w:val="00B741FC"/>
    <w:rsid w:val="00B75684"/>
    <w:rsid w:val="00BA3A55"/>
    <w:rsid w:val="00BC17E8"/>
    <w:rsid w:val="00BD1319"/>
    <w:rsid w:val="00BD3DE0"/>
    <w:rsid w:val="00BD4EAE"/>
    <w:rsid w:val="00BD5F5A"/>
    <w:rsid w:val="00BE14BB"/>
    <w:rsid w:val="00BE277E"/>
    <w:rsid w:val="00BE7E44"/>
    <w:rsid w:val="00BF6EF6"/>
    <w:rsid w:val="00BF79AA"/>
    <w:rsid w:val="00C03CB7"/>
    <w:rsid w:val="00C153AB"/>
    <w:rsid w:val="00C253F8"/>
    <w:rsid w:val="00C36030"/>
    <w:rsid w:val="00C506D0"/>
    <w:rsid w:val="00C51718"/>
    <w:rsid w:val="00C51F42"/>
    <w:rsid w:val="00C65B33"/>
    <w:rsid w:val="00C671D8"/>
    <w:rsid w:val="00C74B39"/>
    <w:rsid w:val="00C75886"/>
    <w:rsid w:val="00C77C40"/>
    <w:rsid w:val="00C80BF7"/>
    <w:rsid w:val="00C8245F"/>
    <w:rsid w:val="00C86366"/>
    <w:rsid w:val="00C929DA"/>
    <w:rsid w:val="00CB53BE"/>
    <w:rsid w:val="00CC480D"/>
    <w:rsid w:val="00CD262A"/>
    <w:rsid w:val="00CF0CFF"/>
    <w:rsid w:val="00CF3FE4"/>
    <w:rsid w:val="00CF483D"/>
    <w:rsid w:val="00CF6564"/>
    <w:rsid w:val="00D0480E"/>
    <w:rsid w:val="00D227F1"/>
    <w:rsid w:val="00D25DB1"/>
    <w:rsid w:val="00D26CBB"/>
    <w:rsid w:val="00D40AAB"/>
    <w:rsid w:val="00D411E1"/>
    <w:rsid w:val="00D46E27"/>
    <w:rsid w:val="00D545B7"/>
    <w:rsid w:val="00D5683C"/>
    <w:rsid w:val="00D6465D"/>
    <w:rsid w:val="00D65365"/>
    <w:rsid w:val="00D665A0"/>
    <w:rsid w:val="00D829D3"/>
    <w:rsid w:val="00D833D9"/>
    <w:rsid w:val="00D85536"/>
    <w:rsid w:val="00D85C66"/>
    <w:rsid w:val="00D86400"/>
    <w:rsid w:val="00D973AB"/>
    <w:rsid w:val="00DA35AA"/>
    <w:rsid w:val="00DA449F"/>
    <w:rsid w:val="00DA4737"/>
    <w:rsid w:val="00DB2FB9"/>
    <w:rsid w:val="00DB4DAE"/>
    <w:rsid w:val="00DB543B"/>
    <w:rsid w:val="00DB7510"/>
    <w:rsid w:val="00DB7C26"/>
    <w:rsid w:val="00DE67DD"/>
    <w:rsid w:val="00DF596B"/>
    <w:rsid w:val="00DF74EA"/>
    <w:rsid w:val="00E00E8B"/>
    <w:rsid w:val="00E0649E"/>
    <w:rsid w:val="00E10E30"/>
    <w:rsid w:val="00E117A9"/>
    <w:rsid w:val="00E2221F"/>
    <w:rsid w:val="00E22D8C"/>
    <w:rsid w:val="00E238D2"/>
    <w:rsid w:val="00E252E2"/>
    <w:rsid w:val="00E33FEC"/>
    <w:rsid w:val="00E44DA6"/>
    <w:rsid w:val="00E51C27"/>
    <w:rsid w:val="00E53456"/>
    <w:rsid w:val="00E578A7"/>
    <w:rsid w:val="00E578B0"/>
    <w:rsid w:val="00E608D1"/>
    <w:rsid w:val="00E85640"/>
    <w:rsid w:val="00E8653F"/>
    <w:rsid w:val="00E95536"/>
    <w:rsid w:val="00EA4339"/>
    <w:rsid w:val="00EA6C2A"/>
    <w:rsid w:val="00EB0782"/>
    <w:rsid w:val="00EB5B9E"/>
    <w:rsid w:val="00EB6BD6"/>
    <w:rsid w:val="00EC6735"/>
    <w:rsid w:val="00EE4672"/>
    <w:rsid w:val="00EE60DB"/>
    <w:rsid w:val="00EE6428"/>
    <w:rsid w:val="00EF15DE"/>
    <w:rsid w:val="00F015EE"/>
    <w:rsid w:val="00F0731C"/>
    <w:rsid w:val="00F15041"/>
    <w:rsid w:val="00F23CC3"/>
    <w:rsid w:val="00F40CDE"/>
    <w:rsid w:val="00F42E00"/>
    <w:rsid w:val="00F54827"/>
    <w:rsid w:val="00F5500D"/>
    <w:rsid w:val="00F554F4"/>
    <w:rsid w:val="00F56B8B"/>
    <w:rsid w:val="00F72650"/>
    <w:rsid w:val="00F76B9A"/>
    <w:rsid w:val="00F91C2A"/>
    <w:rsid w:val="00F972CD"/>
    <w:rsid w:val="00FA25D3"/>
    <w:rsid w:val="00FB0A64"/>
    <w:rsid w:val="00FB3C14"/>
    <w:rsid w:val="00FC206A"/>
    <w:rsid w:val="00FC3561"/>
    <w:rsid w:val="00FC489E"/>
    <w:rsid w:val="00FD2021"/>
    <w:rsid w:val="00FD6467"/>
    <w:rsid w:val="00FE1535"/>
    <w:rsid w:val="00FE182C"/>
    <w:rsid w:val="00FE43C2"/>
    <w:rsid w:val="00FE4C61"/>
    <w:rsid w:val="00FE5677"/>
    <w:rsid w:val="00FE6FEB"/>
    <w:rsid w:val="00FF02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77D"/>
    <w:pPr>
      <w:widowControl w:val="0"/>
    </w:pPr>
    <w:rPr>
      <w:kern w:val="2"/>
      <w:sz w:val="24"/>
      <w:szCs w:val="24"/>
    </w:rPr>
  </w:style>
  <w:style w:type="paragraph" w:styleId="1">
    <w:name w:val="heading 1"/>
    <w:aliases w:val="Section title,Main Section,Hoofdstuktitel"/>
    <w:basedOn w:val="a"/>
    <w:next w:val="a"/>
    <w:link w:val="10"/>
    <w:qFormat/>
    <w:rsid w:val="002A771A"/>
    <w:pPr>
      <w:keepNext/>
      <w:tabs>
        <w:tab w:val="left" w:pos="0"/>
        <w:tab w:val="left" w:pos="240"/>
      </w:tabs>
      <w:spacing w:before="180" w:after="180"/>
      <w:outlineLvl w:val="0"/>
    </w:pPr>
    <w:rPr>
      <w:rFonts w:eastAsia="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66DA1"/>
    <w:pPr>
      <w:tabs>
        <w:tab w:val="center" w:pos="4153"/>
        <w:tab w:val="right" w:pos="8306"/>
      </w:tabs>
      <w:snapToGrid w:val="0"/>
    </w:pPr>
    <w:rPr>
      <w:sz w:val="20"/>
      <w:szCs w:val="20"/>
    </w:rPr>
  </w:style>
  <w:style w:type="character" w:styleId="a5">
    <w:name w:val="page number"/>
    <w:basedOn w:val="a0"/>
    <w:rsid w:val="00A66DA1"/>
  </w:style>
  <w:style w:type="paragraph" w:styleId="11">
    <w:name w:val="toc 1"/>
    <w:basedOn w:val="a"/>
    <w:next w:val="a"/>
    <w:autoRedefine/>
    <w:semiHidden/>
    <w:rsid w:val="00225CCA"/>
    <w:pPr>
      <w:tabs>
        <w:tab w:val="right" w:leader="hyphen" w:pos="9684"/>
      </w:tabs>
      <w:jc w:val="both"/>
    </w:pPr>
    <w:rPr>
      <w:rFonts w:eastAsia="標楷體" w:hAnsi="標楷體"/>
      <w:b/>
      <w:bCs/>
      <w:caps/>
      <w:noProof/>
      <w:kern w:val="0"/>
      <w:sz w:val="32"/>
      <w:szCs w:val="32"/>
    </w:rPr>
  </w:style>
  <w:style w:type="paragraph" w:styleId="a6">
    <w:name w:val="header"/>
    <w:basedOn w:val="a"/>
    <w:rsid w:val="00DA35AA"/>
    <w:pPr>
      <w:tabs>
        <w:tab w:val="center" w:pos="4153"/>
        <w:tab w:val="right" w:pos="8306"/>
      </w:tabs>
      <w:snapToGrid w:val="0"/>
    </w:pPr>
    <w:rPr>
      <w:sz w:val="20"/>
      <w:szCs w:val="20"/>
    </w:rPr>
  </w:style>
  <w:style w:type="paragraph" w:styleId="a7">
    <w:name w:val="footnote text"/>
    <w:basedOn w:val="a"/>
    <w:semiHidden/>
    <w:rsid w:val="00B741FC"/>
    <w:pPr>
      <w:snapToGrid w:val="0"/>
    </w:pPr>
    <w:rPr>
      <w:sz w:val="20"/>
      <w:szCs w:val="20"/>
    </w:rPr>
  </w:style>
  <w:style w:type="character" w:styleId="a8">
    <w:name w:val="footnote reference"/>
    <w:basedOn w:val="a0"/>
    <w:semiHidden/>
    <w:rsid w:val="00B741FC"/>
    <w:rPr>
      <w:vertAlign w:val="superscript"/>
    </w:rPr>
  </w:style>
  <w:style w:type="paragraph" w:styleId="a9">
    <w:name w:val="List Paragraph"/>
    <w:basedOn w:val="a"/>
    <w:uiPriority w:val="34"/>
    <w:qFormat/>
    <w:rsid w:val="007E5072"/>
    <w:pPr>
      <w:widowControl/>
      <w:spacing w:after="200" w:line="276" w:lineRule="auto"/>
      <w:ind w:leftChars="200" w:left="480"/>
    </w:pPr>
    <w:rPr>
      <w:kern w:val="0"/>
      <w:szCs w:val="22"/>
      <w:lang w:eastAsia="en-US"/>
    </w:rPr>
  </w:style>
  <w:style w:type="paragraph" w:styleId="aa">
    <w:name w:val="endnote text"/>
    <w:basedOn w:val="a"/>
    <w:link w:val="ab"/>
    <w:rsid w:val="00216A53"/>
    <w:pPr>
      <w:snapToGrid w:val="0"/>
    </w:pPr>
  </w:style>
  <w:style w:type="character" w:customStyle="1" w:styleId="ab">
    <w:name w:val="章節附註文字 字元"/>
    <w:basedOn w:val="a0"/>
    <w:link w:val="aa"/>
    <w:rsid w:val="00216A53"/>
    <w:rPr>
      <w:kern w:val="2"/>
      <w:sz w:val="24"/>
      <w:szCs w:val="24"/>
    </w:rPr>
  </w:style>
  <w:style w:type="character" w:styleId="ac">
    <w:name w:val="endnote reference"/>
    <w:basedOn w:val="a0"/>
    <w:rsid w:val="00216A53"/>
    <w:rPr>
      <w:vertAlign w:val="superscript"/>
    </w:rPr>
  </w:style>
  <w:style w:type="paragraph" w:styleId="ad">
    <w:name w:val="Balloon Text"/>
    <w:basedOn w:val="a"/>
    <w:link w:val="ae"/>
    <w:rsid w:val="00B054D7"/>
    <w:rPr>
      <w:rFonts w:ascii="Cambria" w:hAnsi="Cambria"/>
      <w:sz w:val="18"/>
      <w:szCs w:val="18"/>
    </w:rPr>
  </w:style>
  <w:style w:type="character" w:customStyle="1" w:styleId="ae">
    <w:name w:val="註解方塊文字 字元"/>
    <w:basedOn w:val="a0"/>
    <w:link w:val="ad"/>
    <w:rsid w:val="00B054D7"/>
    <w:rPr>
      <w:rFonts w:ascii="Cambria" w:eastAsia="新細明體" w:hAnsi="Cambria" w:cs="Times New Roman"/>
      <w:kern w:val="2"/>
      <w:sz w:val="18"/>
      <w:szCs w:val="18"/>
    </w:rPr>
  </w:style>
  <w:style w:type="character" w:styleId="af">
    <w:name w:val="Placeholder Text"/>
    <w:basedOn w:val="a0"/>
    <w:uiPriority w:val="99"/>
    <w:semiHidden/>
    <w:rsid w:val="00B054D7"/>
    <w:rPr>
      <w:color w:val="808080"/>
    </w:rPr>
  </w:style>
  <w:style w:type="character" w:styleId="af0">
    <w:name w:val="Hyperlink"/>
    <w:basedOn w:val="a0"/>
    <w:rsid w:val="00733666"/>
    <w:rPr>
      <w:color w:val="0000FF"/>
      <w:u w:val="single"/>
    </w:rPr>
  </w:style>
  <w:style w:type="paragraph" w:customStyle="1" w:styleId="af1">
    <w:name w:val="公文(後續段落)"/>
    <w:basedOn w:val="a"/>
    <w:rsid w:val="00D227F1"/>
    <w:pPr>
      <w:spacing w:line="500" w:lineRule="exact"/>
      <w:ind w:left="317"/>
    </w:pPr>
    <w:rPr>
      <w:rFonts w:eastAsia="標楷體"/>
      <w:sz w:val="32"/>
    </w:rPr>
  </w:style>
  <w:style w:type="character" w:customStyle="1" w:styleId="10">
    <w:name w:val="標題 1 字元"/>
    <w:basedOn w:val="a0"/>
    <w:link w:val="1"/>
    <w:rsid w:val="002A771A"/>
    <w:rPr>
      <w:rFonts w:eastAsia="標楷體"/>
      <w:b/>
      <w:bCs/>
      <w:kern w:val="52"/>
      <w:sz w:val="32"/>
      <w:szCs w:val="52"/>
    </w:rPr>
  </w:style>
  <w:style w:type="paragraph" w:styleId="af2">
    <w:name w:val="caption"/>
    <w:basedOn w:val="a"/>
    <w:next w:val="a"/>
    <w:qFormat/>
    <w:rsid w:val="002A771A"/>
    <w:pPr>
      <w:spacing w:before="120" w:after="120"/>
    </w:pPr>
    <w:rPr>
      <w:sz w:val="20"/>
      <w:szCs w:val="20"/>
    </w:rPr>
  </w:style>
  <w:style w:type="paragraph" w:styleId="12">
    <w:name w:val="index 1"/>
    <w:basedOn w:val="a"/>
    <w:next w:val="a"/>
    <w:autoRedefine/>
    <w:rsid w:val="002A771A"/>
  </w:style>
  <w:style w:type="paragraph" w:styleId="af3">
    <w:name w:val="index heading"/>
    <w:basedOn w:val="a"/>
    <w:next w:val="12"/>
    <w:rsid w:val="002A771A"/>
    <w:pPr>
      <w:spacing w:before="240" w:after="120"/>
      <w:jc w:val="center"/>
    </w:pPr>
    <w:rPr>
      <w:b/>
      <w:bCs/>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77D"/>
    <w:pPr>
      <w:widowControl w:val="0"/>
    </w:pPr>
    <w:rPr>
      <w:kern w:val="2"/>
      <w:sz w:val="24"/>
      <w:szCs w:val="24"/>
    </w:rPr>
  </w:style>
  <w:style w:type="paragraph" w:styleId="1">
    <w:name w:val="heading 1"/>
    <w:aliases w:val="Section title,Main Section,Hoofdstuktitel"/>
    <w:basedOn w:val="a"/>
    <w:next w:val="a"/>
    <w:link w:val="10"/>
    <w:qFormat/>
    <w:rsid w:val="002A771A"/>
    <w:pPr>
      <w:keepNext/>
      <w:tabs>
        <w:tab w:val="left" w:pos="0"/>
        <w:tab w:val="left" w:pos="240"/>
      </w:tabs>
      <w:spacing w:before="180" w:after="180"/>
      <w:outlineLvl w:val="0"/>
    </w:pPr>
    <w:rPr>
      <w:rFonts w:eastAsia="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66DA1"/>
    <w:pPr>
      <w:tabs>
        <w:tab w:val="center" w:pos="4153"/>
        <w:tab w:val="right" w:pos="8306"/>
      </w:tabs>
      <w:snapToGrid w:val="0"/>
    </w:pPr>
    <w:rPr>
      <w:sz w:val="20"/>
      <w:szCs w:val="20"/>
    </w:rPr>
  </w:style>
  <w:style w:type="character" w:styleId="a5">
    <w:name w:val="page number"/>
    <w:basedOn w:val="a0"/>
    <w:rsid w:val="00A66DA1"/>
  </w:style>
  <w:style w:type="paragraph" w:styleId="11">
    <w:name w:val="toc 1"/>
    <w:basedOn w:val="a"/>
    <w:next w:val="a"/>
    <w:autoRedefine/>
    <w:semiHidden/>
    <w:rsid w:val="00225CCA"/>
    <w:pPr>
      <w:tabs>
        <w:tab w:val="right" w:leader="hyphen" w:pos="9684"/>
      </w:tabs>
      <w:jc w:val="both"/>
    </w:pPr>
    <w:rPr>
      <w:rFonts w:eastAsia="標楷體" w:hAnsi="標楷體"/>
      <w:b/>
      <w:bCs/>
      <w:caps/>
      <w:noProof/>
      <w:kern w:val="0"/>
      <w:sz w:val="32"/>
      <w:szCs w:val="32"/>
    </w:rPr>
  </w:style>
  <w:style w:type="paragraph" w:styleId="a6">
    <w:name w:val="header"/>
    <w:basedOn w:val="a"/>
    <w:rsid w:val="00DA35AA"/>
    <w:pPr>
      <w:tabs>
        <w:tab w:val="center" w:pos="4153"/>
        <w:tab w:val="right" w:pos="8306"/>
      </w:tabs>
      <w:snapToGrid w:val="0"/>
    </w:pPr>
    <w:rPr>
      <w:sz w:val="20"/>
      <w:szCs w:val="20"/>
    </w:rPr>
  </w:style>
  <w:style w:type="paragraph" w:styleId="a7">
    <w:name w:val="footnote text"/>
    <w:basedOn w:val="a"/>
    <w:semiHidden/>
    <w:rsid w:val="00B741FC"/>
    <w:pPr>
      <w:snapToGrid w:val="0"/>
    </w:pPr>
    <w:rPr>
      <w:sz w:val="20"/>
      <w:szCs w:val="20"/>
    </w:rPr>
  </w:style>
  <w:style w:type="character" w:styleId="a8">
    <w:name w:val="footnote reference"/>
    <w:basedOn w:val="a0"/>
    <w:semiHidden/>
    <w:rsid w:val="00B741FC"/>
    <w:rPr>
      <w:vertAlign w:val="superscript"/>
    </w:rPr>
  </w:style>
  <w:style w:type="paragraph" w:styleId="a9">
    <w:name w:val="List Paragraph"/>
    <w:basedOn w:val="a"/>
    <w:uiPriority w:val="34"/>
    <w:qFormat/>
    <w:rsid w:val="007E5072"/>
    <w:pPr>
      <w:widowControl/>
      <w:spacing w:after="200" w:line="276" w:lineRule="auto"/>
      <w:ind w:leftChars="200" w:left="480"/>
    </w:pPr>
    <w:rPr>
      <w:kern w:val="0"/>
      <w:szCs w:val="22"/>
      <w:lang w:eastAsia="en-US"/>
    </w:rPr>
  </w:style>
  <w:style w:type="paragraph" w:styleId="aa">
    <w:name w:val="endnote text"/>
    <w:basedOn w:val="a"/>
    <w:link w:val="ab"/>
    <w:rsid w:val="00216A53"/>
    <w:pPr>
      <w:snapToGrid w:val="0"/>
    </w:pPr>
  </w:style>
  <w:style w:type="character" w:customStyle="1" w:styleId="ab">
    <w:name w:val="章節附註文字 字元"/>
    <w:basedOn w:val="a0"/>
    <w:link w:val="aa"/>
    <w:rsid w:val="00216A53"/>
    <w:rPr>
      <w:kern w:val="2"/>
      <w:sz w:val="24"/>
      <w:szCs w:val="24"/>
    </w:rPr>
  </w:style>
  <w:style w:type="character" w:styleId="ac">
    <w:name w:val="endnote reference"/>
    <w:basedOn w:val="a0"/>
    <w:rsid w:val="00216A53"/>
    <w:rPr>
      <w:vertAlign w:val="superscript"/>
    </w:rPr>
  </w:style>
  <w:style w:type="paragraph" w:styleId="ad">
    <w:name w:val="Balloon Text"/>
    <w:basedOn w:val="a"/>
    <w:link w:val="ae"/>
    <w:rsid w:val="00B054D7"/>
    <w:rPr>
      <w:rFonts w:ascii="Cambria" w:hAnsi="Cambria"/>
      <w:sz w:val="18"/>
      <w:szCs w:val="18"/>
    </w:rPr>
  </w:style>
  <w:style w:type="character" w:customStyle="1" w:styleId="ae">
    <w:name w:val="註解方塊文字 字元"/>
    <w:basedOn w:val="a0"/>
    <w:link w:val="ad"/>
    <w:rsid w:val="00B054D7"/>
    <w:rPr>
      <w:rFonts w:ascii="Cambria" w:eastAsia="新細明體" w:hAnsi="Cambria" w:cs="Times New Roman"/>
      <w:kern w:val="2"/>
      <w:sz w:val="18"/>
      <w:szCs w:val="18"/>
    </w:rPr>
  </w:style>
  <w:style w:type="character" w:styleId="af">
    <w:name w:val="Placeholder Text"/>
    <w:basedOn w:val="a0"/>
    <w:uiPriority w:val="99"/>
    <w:semiHidden/>
    <w:rsid w:val="00B054D7"/>
    <w:rPr>
      <w:color w:val="808080"/>
    </w:rPr>
  </w:style>
  <w:style w:type="character" w:styleId="af0">
    <w:name w:val="Hyperlink"/>
    <w:basedOn w:val="a0"/>
    <w:rsid w:val="00733666"/>
    <w:rPr>
      <w:color w:val="0000FF"/>
      <w:u w:val="single"/>
    </w:rPr>
  </w:style>
  <w:style w:type="paragraph" w:customStyle="1" w:styleId="af1">
    <w:name w:val="公文(後續段落)"/>
    <w:basedOn w:val="a"/>
    <w:rsid w:val="00D227F1"/>
    <w:pPr>
      <w:spacing w:line="500" w:lineRule="exact"/>
      <w:ind w:left="317"/>
    </w:pPr>
    <w:rPr>
      <w:rFonts w:eastAsia="標楷體"/>
      <w:sz w:val="32"/>
    </w:rPr>
  </w:style>
  <w:style w:type="character" w:customStyle="1" w:styleId="10">
    <w:name w:val="標題 1 字元"/>
    <w:basedOn w:val="a0"/>
    <w:link w:val="1"/>
    <w:rsid w:val="002A771A"/>
    <w:rPr>
      <w:rFonts w:eastAsia="標楷體"/>
      <w:b/>
      <w:bCs/>
      <w:kern w:val="52"/>
      <w:sz w:val="32"/>
      <w:szCs w:val="52"/>
    </w:rPr>
  </w:style>
  <w:style w:type="paragraph" w:styleId="af2">
    <w:name w:val="caption"/>
    <w:basedOn w:val="a"/>
    <w:next w:val="a"/>
    <w:qFormat/>
    <w:rsid w:val="002A771A"/>
    <w:pPr>
      <w:spacing w:before="120" w:after="120"/>
    </w:pPr>
    <w:rPr>
      <w:sz w:val="20"/>
      <w:szCs w:val="20"/>
    </w:rPr>
  </w:style>
  <w:style w:type="paragraph" w:styleId="12">
    <w:name w:val="index 1"/>
    <w:basedOn w:val="a"/>
    <w:next w:val="a"/>
    <w:autoRedefine/>
    <w:rsid w:val="002A771A"/>
  </w:style>
  <w:style w:type="paragraph" w:styleId="af3">
    <w:name w:val="index heading"/>
    <w:basedOn w:val="a"/>
    <w:next w:val="12"/>
    <w:rsid w:val="002A771A"/>
    <w:pPr>
      <w:spacing w:before="240" w:after="120"/>
      <w:jc w:val="center"/>
    </w:pPr>
    <w:rPr>
      <w:b/>
      <w:bCs/>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BB0D-BC53-4B42-9DBA-28F99669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960</Words>
  <Characters>5476</Characters>
  <Application>Microsoft Office Word</Application>
  <DocSecurity>0</DocSecurity>
  <Lines>45</Lines>
  <Paragraphs>12</Paragraphs>
  <ScaleCrop>false</ScaleCrop>
  <Company>CMT</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SONY</dc:creator>
  <cp:lastModifiedBy>張珮涵</cp:lastModifiedBy>
  <cp:revision>5</cp:revision>
  <cp:lastPrinted>2014-11-07T08:22:00Z</cp:lastPrinted>
  <dcterms:created xsi:type="dcterms:W3CDTF">2014-11-07T08:20:00Z</dcterms:created>
  <dcterms:modified xsi:type="dcterms:W3CDTF">2014-11-07T08:52:00Z</dcterms:modified>
</cp:coreProperties>
</file>